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5F" w:rsidRPr="00042D13" w:rsidRDefault="000A005F" w:rsidP="000A005F">
      <w:pPr>
        <w:pStyle w:val="aa"/>
        <w:ind w:firstLine="720"/>
        <w:rPr>
          <w:rFonts w:ascii="Times New Roman" w:hAnsi="Times New Roman" w:cs="Times New Roman"/>
          <w:b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</w:t>
      </w:r>
      <w:r w:rsidRPr="00281A4F">
        <w:rPr>
          <w:rFonts w:ascii="Times New Roman" w:hAnsi="Times New Roman" w:cs="Times New Roman"/>
          <w:b w:val="0"/>
          <w:szCs w:val="28"/>
        </w:rPr>
        <w:t>Додаток</w:t>
      </w:r>
      <w:r>
        <w:rPr>
          <w:rFonts w:ascii="Times New Roman" w:hAnsi="Times New Roman" w:cs="Times New Roman"/>
          <w:b w:val="0"/>
          <w:szCs w:val="28"/>
          <w:lang w:val="ru-RU"/>
        </w:rPr>
        <w:t xml:space="preserve"> 2</w:t>
      </w:r>
    </w:p>
    <w:p w:rsidR="000A005F" w:rsidRPr="00281A4F" w:rsidRDefault="000A005F" w:rsidP="000A005F">
      <w:pPr>
        <w:pStyle w:val="aa"/>
        <w:tabs>
          <w:tab w:val="center" w:pos="4680"/>
          <w:tab w:val="right" w:pos="9355"/>
        </w:tabs>
        <w:ind w:firstLine="72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Cs w:val="28"/>
        </w:rPr>
        <w:t xml:space="preserve">                               </w:t>
      </w:r>
      <w:r w:rsidRPr="00281A4F">
        <w:rPr>
          <w:rFonts w:ascii="Times New Roman" w:hAnsi="Times New Roman" w:cs="Times New Roman"/>
          <w:b w:val="0"/>
          <w:szCs w:val="28"/>
        </w:rPr>
        <w:t xml:space="preserve">до  рішення </w:t>
      </w:r>
      <w:r>
        <w:rPr>
          <w:rFonts w:ascii="Times New Roman" w:hAnsi="Times New Roman" w:cs="Times New Roman"/>
          <w:b w:val="0"/>
          <w:szCs w:val="28"/>
        </w:rPr>
        <w:t xml:space="preserve">двадцять </w:t>
      </w:r>
      <w:r>
        <w:rPr>
          <w:rFonts w:ascii="Times New Roman" w:hAnsi="Times New Roman" w:cs="Times New Roman"/>
          <w:b w:val="0"/>
          <w:szCs w:val="28"/>
        </w:rPr>
        <w:t>сьомо</w:t>
      </w:r>
      <w:r>
        <w:rPr>
          <w:rFonts w:ascii="Times New Roman" w:hAnsi="Times New Roman" w:cs="Times New Roman"/>
          <w:b w:val="0"/>
          <w:szCs w:val="28"/>
        </w:rPr>
        <w:t>ї</w:t>
      </w:r>
      <w:r w:rsidRPr="00281A4F">
        <w:rPr>
          <w:rFonts w:ascii="Times New Roman" w:hAnsi="Times New Roman" w:cs="Times New Roman"/>
          <w:b w:val="0"/>
          <w:szCs w:val="28"/>
        </w:rPr>
        <w:t xml:space="preserve"> сесії</w:t>
      </w:r>
    </w:p>
    <w:p w:rsidR="000A005F" w:rsidRPr="00281A4F" w:rsidRDefault="000A005F" w:rsidP="000A005F">
      <w:pPr>
        <w:pStyle w:val="aa"/>
        <w:tabs>
          <w:tab w:val="left" w:pos="4635"/>
          <w:tab w:val="left" w:pos="5505"/>
          <w:tab w:val="right" w:pos="9355"/>
        </w:tabs>
        <w:ind w:firstLine="72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Cs w:val="28"/>
        </w:rPr>
        <w:t xml:space="preserve">                         </w:t>
      </w:r>
      <w:r w:rsidRPr="008D2A5E">
        <w:rPr>
          <w:rFonts w:ascii="Times New Roman" w:hAnsi="Times New Roman" w:cs="Times New Roman"/>
          <w:b w:val="0"/>
          <w:szCs w:val="28"/>
          <w:lang w:val="ru-RU"/>
        </w:rPr>
        <w:t xml:space="preserve">    </w:t>
      </w:r>
      <w:r w:rsidRPr="00281A4F">
        <w:rPr>
          <w:rFonts w:ascii="Times New Roman" w:hAnsi="Times New Roman" w:cs="Times New Roman"/>
          <w:b w:val="0"/>
          <w:szCs w:val="28"/>
        </w:rPr>
        <w:t>районної ради восьмого скликання</w:t>
      </w:r>
    </w:p>
    <w:p w:rsidR="000A005F" w:rsidRPr="00C80300" w:rsidRDefault="000A005F" w:rsidP="000A005F">
      <w:pPr>
        <w:pStyle w:val="aa"/>
        <w:tabs>
          <w:tab w:val="left" w:pos="4500"/>
        </w:tabs>
        <w:ind w:firstLine="720"/>
        <w:rPr>
          <w:rFonts w:ascii="Times New Roman" w:hAnsi="Times New Roman" w:cs="Times New Roman"/>
          <w:b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Cs w:val="28"/>
        </w:rPr>
        <w:t xml:space="preserve">                          від 27</w:t>
      </w:r>
      <w:r>
        <w:rPr>
          <w:rFonts w:ascii="Times New Roman" w:hAnsi="Times New Roman" w:cs="Times New Roman"/>
          <w:b w:val="0"/>
          <w:szCs w:val="28"/>
        </w:rPr>
        <w:t xml:space="preserve"> березня </w:t>
      </w:r>
      <w:r>
        <w:rPr>
          <w:rFonts w:ascii="Times New Roman" w:hAnsi="Times New Roman" w:cs="Times New Roman"/>
          <w:b w:val="0"/>
          <w:szCs w:val="28"/>
        </w:rPr>
        <w:t xml:space="preserve">2026 </w:t>
      </w:r>
      <w:r w:rsidRPr="00281A4F">
        <w:rPr>
          <w:rFonts w:ascii="Times New Roman" w:hAnsi="Times New Roman" w:cs="Times New Roman"/>
          <w:b w:val="0"/>
          <w:szCs w:val="28"/>
        </w:rPr>
        <w:t xml:space="preserve">року № </w:t>
      </w:r>
      <w:r>
        <w:rPr>
          <w:rFonts w:ascii="Times New Roman" w:hAnsi="Times New Roman" w:cs="Times New Roman"/>
          <w:b w:val="0"/>
          <w:szCs w:val="28"/>
          <w:lang w:val="ru-RU"/>
        </w:rPr>
        <w:t>334-</w:t>
      </w:r>
      <w:r w:rsidRPr="00A10FA0">
        <w:rPr>
          <w:rFonts w:ascii="Times New Roman" w:hAnsi="Times New Roman" w:cs="Times New Roman"/>
          <w:b w:val="0"/>
          <w:szCs w:val="28"/>
          <w:lang w:val="en-US"/>
        </w:rPr>
        <w:t>X</w:t>
      </w:r>
      <w:r w:rsidRPr="00A10FA0">
        <w:rPr>
          <w:rFonts w:ascii="Times New Roman" w:hAnsi="Times New Roman" w:cs="Times New Roman"/>
          <w:b w:val="0"/>
          <w:szCs w:val="28"/>
        </w:rPr>
        <w:t>Х</w:t>
      </w:r>
      <w:r w:rsidRPr="00A10FA0">
        <w:rPr>
          <w:rFonts w:ascii="Times New Roman" w:hAnsi="Times New Roman" w:cs="Times New Roman"/>
          <w:b w:val="0"/>
          <w:szCs w:val="28"/>
          <w:lang w:val="en-US"/>
        </w:rPr>
        <w:t>VII</w:t>
      </w:r>
    </w:p>
    <w:p w:rsidR="00654E62" w:rsidRPr="007B42AB" w:rsidRDefault="00654E62" w:rsidP="00654E62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lang w:val="uk-UA"/>
        </w:rPr>
      </w:pPr>
      <w:r w:rsidRPr="007B42AB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7B42AB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</w:p>
    <w:p w:rsidR="00654E62" w:rsidRPr="007B42AB" w:rsidRDefault="00654E62" w:rsidP="0065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val="uk-UA"/>
        </w:rPr>
      </w:pPr>
      <w:r w:rsidRPr="007B42AB">
        <w:rPr>
          <w:rFonts w:ascii="Times New Roman" w:eastAsia="Times New Roman" w:hAnsi="Times New Roman" w:cs="Times New Roman"/>
          <w:b/>
          <w:color w:val="000000"/>
          <w:sz w:val="32"/>
          <w:lang w:val="uk-UA"/>
        </w:rPr>
        <w:t>Підсумковий звіт щодо виконання районної (комплексної)  Програми </w:t>
      </w:r>
    </w:p>
    <w:p w:rsidR="00654E62" w:rsidRPr="00AB5136" w:rsidRDefault="00654E62" w:rsidP="00D74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2AB">
        <w:rPr>
          <w:rFonts w:ascii="Times New Roman" w:eastAsia="Times New Roman" w:hAnsi="Times New Roman" w:cs="Times New Roman"/>
          <w:b/>
          <w:color w:val="000000"/>
          <w:lang w:val="uk-UA"/>
        </w:rPr>
        <w:t>1</w:t>
      </w:r>
      <w:r w:rsidRPr="00AB51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 Основні дані:</w:t>
      </w:r>
    </w:p>
    <w:p w:rsidR="00654E62" w:rsidRPr="00AB5136" w:rsidRDefault="00654E62" w:rsidP="0054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 Назва Програми</w:t>
      </w:r>
      <w:r w:rsidR="008910C0"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Районна комплексна Програма розвитку місцевого самоврядування Лубенського району на 202</w:t>
      </w:r>
      <w:r w:rsidR="004224D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5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р</w:t>
      </w:r>
      <w:r w:rsidR="004224D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і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к</w:t>
      </w:r>
    </w:p>
    <w:p w:rsidR="00D7477E" w:rsidRPr="00AB5136" w:rsidRDefault="00654E62" w:rsidP="0054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 Номер та дата рішення про прийняття Програми</w:t>
      </w:r>
      <w:r w:rsidR="008910C0"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рішення </w:t>
      </w:r>
      <w:r w:rsidR="004224D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двадцять другої сесії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Лубенської районн</w:t>
      </w:r>
      <w:r w:rsidR="004224D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ої ради восьмого скликання від 18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.</w:t>
      </w:r>
      <w:r w:rsidR="004224D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12.2024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року №</w:t>
      </w:r>
      <w:r w:rsidR="004224D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28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3 - </w:t>
      </w:r>
      <w:r w:rsidR="004224D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ХХІ</w:t>
      </w:r>
      <w:r w:rsidR="00D7477E" w:rsidRPr="00AB513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І </w:t>
      </w:r>
    </w:p>
    <w:p w:rsidR="00654E62" w:rsidRPr="00AB5136" w:rsidRDefault="00654E62" w:rsidP="0054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 Заплановане фінансування, грн</w:t>
      </w:r>
      <w:r w:rsidR="00043421"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</w:t>
      </w:r>
      <w:r w:rsidR="00B30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1855,0</w:t>
      </w:r>
      <w:r w:rsidR="002F7329" w:rsidRPr="00AB5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тис.грн.</w:t>
      </w:r>
    </w:p>
    <w:p w:rsidR="00654E62" w:rsidRPr="00AB5136" w:rsidRDefault="00654E62" w:rsidP="0054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 Розпорядник коштів (виконавець Програми)</w:t>
      </w:r>
      <w:r w:rsidR="00043421" w:rsidRPr="00AB51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 w:rsidR="00043421" w:rsidRPr="00AB51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43421" w:rsidRPr="00AB513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Лубенська районна рада Полтавської області</w:t>
      </w:r>
    </w:p>
    <w:p w:rsidR="00B30987" w:rsidRPr="00B30987" w:rsidRDefault="00654E62" w:rsidP="00B30987">
      <w:pPr>
        <w:pStyle w:val="2"/>
        <w:spacing w:line="276" w:lineRule="auto"/>
        <w:ind w:firstLine="840"/>
        <w:jc w:val="both"/>
        <w:rPr>
          <w:sz w:val="24"/>
          <w:lang w:val="uk-UA"/>
        </w:rPr>
      </w:pPr>
      <w:r w:rsidRPr="00AB5136">
        <w:rPr>
          <w:color w:val="000000"/>
          <w:sz w:val="24"/>
          <w:lang w:val="uk-UA"/>
        </w:rPr>
        <w:t>- Мета Програми</w:t>
      </w:r>
      <w:r w:rsidR="00043421" w:rsidRPr="00AB5136">
        <w:rPr>
          <w:color w:val="000000"/>
          <w:sz w:val="24"/>
          <w:lang w:val="uk-UA"/>
        </w:rPr>
        <w:t xml:space="preserve">: </w:t>
      </w:r>
      <w:r w:rsidR="00D7477E" w:rsidRPr="00AB5136">
        <w:rPr>
          <w:sz w:val="24"/>
          <w:lang w:val="uk-UA"/>
        </w:rPr>
        <w:t>С</w:t>
      </w:r>
      <w:r w:rsidR="00B30987">
        <w:rPr>
          <w:sz w:val="24"/>
          <w:lang w:val="uk-UA"/>
        </w:rPr>
        <w:t xml:space="preserve">творення умов для належної реалізації органами місцевого самоврядування прав і повноважень визначених чинним законодавством України. </w:t>
      </w:r>
      <w:r w:rsidR="00B30987" w:rsidRPr="00B30987">
        <w:rPr>
          <w:sz w:val="24"/>
          <w:lang w:val="uk-UA"/>
        </w:rPr>
        <w:t>Спрямована на підвищення їх інституційної спроможності, створення оптимальної, ефективної, стабільної системи органів місцевого самоврядування в умовах децентралізаці</w:t>
      </w:r>
      <w:r w:rsidR="00B30987">
        <w:rPr>
          <w:sz w:val="24"/>
          <w:lang w:val="uk-UA"/>
        </w:rPr>
        <w:t>ї</w:t>
      </w:r>
      <w:r w:rsidR="00B30987" w:rsidRPr="00B30987">
        <w:rPr>
          <w:sz w:val="24"/>
          <w:lang w:val="uk-UA"/>
        </w:rPr>
        <w:t>, покращення роботи органів місцевого самоврядування різних рівнів у Лубенському районі, посилення скоординованості роботи органів місцевого самоврядування, депутатів місцевих рад, утримання та матеріально-технічне забезпечення Лубенської районної ради, відповідне інформаційне забезпечення депутатського корпусу всіх рівнів, удосконалення кваліфікації посадових осіб органів місцевого самоврядування.</w:t>
      </w:r>
    </w:p>
    <w:p w:rsidR="00654E62" w:rsidRPr="00AB5136" w:rsidRDefault="00BB7785" w:rsidP="00B30987">
      <w:pPr>
        <w:pStyle w:val="2"/>
        <w:spacing w:before="120" w:line="240" w:lineRule="auto"/>
        <w:jc w:val="both"/>
        <w:rPr>
          <w:b/>
          <w:color w:val="000000"/>
          <w:sz w:val="24"/>
          <w:lang w:val="uk-UA"/>
        </w:rPr>
      </w:pPr>
      <w:r w:rsidRPr="007B42AB">
        <w:rPr>
          <w:b/>
          <w:color w:val="000000"/>
          <w:sz w:val="24"/>
          <w:lang w:val="uk-UA"/>
        </w:rPr>
        <w:t xml:space="preserve">2. </w:t>
      </w:r>
      <w:r w:rsidR="00654E62" w:rsidRPr="007B42AB">
        <w:rPr>
          <w:b/>
          <w:color w:val="000000"/>
          <w:sz w:val="24"/>
          <w:lang w:val="uk-UA"/>
        </w:rPr>
        <w:t>Виконання заходів і завдань Програми</w:t>
      </w:r>
    </w:p>
    <w:tbl>
      <w:tblPr>
        <w:tblW w:w="1587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2723"/>
        <w:gridCol w:w="1056"/>
        <w:gridCol w:w="844"/>
        <w:gridCol w:w="1797"/>
        <w:gridCol w:w="1401"/>
        <w:gridCol w:w="2480"/>
        <w:gridCol w:w="1056"/>
        <w:gridCol w:w="844"/>
        <w:gridCol w:w="2944"/>
      </w:tblGrid>
      <w:tr w:rsidR="00F30CF7" w:rsidRPr="007B42AB" w:rsidTr="005056CF">
        <w:trPr>
          <w:trHeight w:val="340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Заплановані заходи</w:t>
            </w:r>
          </w:p>
        </w:tc>
        <w:tc>
          <w:tcPr>
            <w:tcW w:w="8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Фактично проведені заходи</w:t>
            </w:r>
          </w:p>
        </w:tc>
      </w:tr>
      <w:tr w:rsidR="005056CF" w:rsidRPr="007B42AB" w:rsidTr="005056CF">
        <w:trPr>
          <w:trHeight w:val="970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Назва, зміст заходу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КФКВ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Планове фінансування,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Назва, зміст заходу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КФКВ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7B42AB" w:rsidRDefault="00654E62" w:rsidP="007904D0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Фактичне фінансування (касові видатки), грн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AB2A06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C6688B" w:rsidP="007904D0">
            <w:pPr>
              <w:pStyle w:val="Default"/>
              <w:tabs>
                <w:tab w:val="left" w:pos="851"/>
              </w:tabs>
              <w:spacing w:before="120" w:after="120"/>
              <w:jc w:val="both"/>
              <w:rPr>
                <w:rFonts w:eastAsia="SimSun"/>
                <w:color w:val="auto"/>
                <w:lang w:val="uk-UA"/>
              </w:rPr>
            </w:pPr>
            <w:r>
              <w:rPr>
                <w:rFonts w:eastAsia="SimSun"/>
                <w:color w:val="auto"/>
                <w:lang w:val="uk-UA"/>
              </w:rPr>
              <w:t>Підготовка спільних проє</w:t>
            </w:r>
            <w:r w:rsidR="00AB2A06" w:rsidRPr="007B42AB">
              <w:rPr>
                <w:rFonts w:eastAsia="SimSun"/>
                <w:color w:val="auto"/>
                <w:lang w:val="uk-UA"/>
              </w:rPr>
              <w:t xml:space="preserve">ктів для участі у різних  конкурсних програмах та інших заходах.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FD0E7D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FD0E7D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FD0E7D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FD0E7D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0677E9" w:rsidP="0094084A">
            <w:pPr>
              <w:pStyle w:val="Default"/>
              <w:tabs>
                <w:tab w:val="left" w:pos="851"/>
              </w:tabs>
              <w:spacing w:before="120" w:after="120"/>
              <w:rPr>
                <w:rFonts w:eastAsia="SimSun"/>
                <w:b/>
                <w:color w:val="auto"/>
                <w:lang w:val="uk-UA"/>
              </w:rPr>
            </w:pPr>
            <w:r w:rsidRPr="007B42AB">
              <w:rPr>
                <w:rFonts w:eastAsia="SimSun"/>
                <w:color w:val="auto"/>
                <w:lang w:val="uk-UA"/>
              </w:rPr>
              <w:t xml:space="preserve">Підготовка спільних проектів для участі у різних  конкурсних програмах та інших заходах.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FD0E7D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FD0E7D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2A06" w:rsidRPr="007B42AB" w:rsidRDefault="00FD0E7D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C6688B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та підвищення кваліфікації  посадових 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осіб </w:t>
            </w:r>
            <w:r w:rsidR="00C6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Лубенської районної ради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6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голів постійних комісій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</w:t>
            </w:r>
            <w:r w:rsidR="00C6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представників депутатського корпусу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C6688B" w:rsidP="0094084A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та підвищення кваліфікації  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посадових осіб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Лубенської районної ради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голів постійних комісій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представників депутатського корпусу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AB2A06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C6688B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Направлення на навчання, курси чи семінари </w:t>
            </w:r>
            <w:r w:rsidR="00C6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посадових осіб місцевого самоврядування та депутатів місцевих рад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C6688B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Направлення на навчання, курси чи семінари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посадових осіб місцевого самоврядування та депутатів місцевих рад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FD0E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FD0E7D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0E7D" w:rsidRPr="007B42AB" w:rsidRDefault="00FD0E7D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спільних семінарів, тренінгів з актуальних проблем, круглих столів, виїзних засідань по обміну досвідом роботи між органами місцевого самоврядування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802DC0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802DC0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C6688B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802DC0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</w:t>
            </w:r>
            <w:r w:rsidR="00FD0E7D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802DC0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 грн</w:t>
            </w:r>
          </w:p>
          <w:p w:rsidR="00FD0E7D" w:rsidRPr="007B42AB" w:rsidRDefault="00FD0E7D" w:rsidP="00802DC0">
            <w:pPr>
              <w:spacing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802DC0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0677E9" w:rsidP="0094084A">
            <w:pPr>
              <w:pStyle w:val="Default"/>
              <w:spacing w:before="120" w:after="120"/>
              <w:rPr>
                <w:rFonts w:eastAsia="SimSun"/>
                <w:color w:val="auto"/>
                <w:lang w:val="uk-UA"/>
              </w:rPr>
            </w:pPr>
            <w:r w:rsidRPr="007B42AB">
              <w:rPr>
                <w:color w:val="auto"/>
                <w:lang w:val="uk-UA"/>
              </w:rPr>
              <w:t>Організація та проведення спільних семінарів, тренінгів з актуальних проблем, круглих столів, виїзних засідань по обміну досвідом роботи між органами місцевого самоврядування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802DC0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802DC0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E7D" w:rsidRPr="007B42AB" w:rsidRDefault="00802DC0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Забезпечення діяльності та безпечних умов праці,  виконання наданих 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lastRenderedPageBreak/>
              <w:t>законодавством повноважень, здійснення поточних витрат на утримання районної ради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Забезпечення діяльності та безпечних умов праці,  виконання 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lastRenderedPageBreak/>
              <w:t>наданих законодавством повноважень, здійснення поточних витрат на утримання районної ради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DD6976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діяльності депутатів районної ради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діяльності депутатів районної ради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5056CF">
        <w:trPr>
          <w:trHeight w:val="99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DD6976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поточних витрат на утримання районної ради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0110150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88B" w:rsidRDefault="00C6688B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2111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2120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2210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2240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2250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2271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2272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2273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2274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2275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5056CF" w:rsidRDefault="00C6688B" w:rsidP="00C6688B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850000</w:t>
            </w:r>
            <w:r w:rsidR="000677E9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  <w:r w:rsidR="007B42AB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D3CC2" w:rsidRDefault="001D3CC2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97ECA" w:rsidRDefault="00CF3B75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Жовтень</w:t>
            </w:r>
            <w:r w:rsidR="00E97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грудень</w:t>
            </w:r>
            <w:r w:rsidR="00E97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E97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E97ECA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97ECA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97ECA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Квітень-вересень 2025</w:t>
            </w:r>
            <w:r w:rsidR="00E97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1D3CC2" w:rsidRDefault="001D3CC2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D3CC2" w:rsidRDefault="001D3CC2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D3CC2" w:rsidRPr="007B42AB" w:rsidRDefault="005056CF" w:rsidP="005056CF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Травень-жовтень</w:t>
            </w:r>
            <w:r w:rsidR="00E97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E97E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Default="000677E9" w:rsidP="0094084A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поточних витрат на утримання районної ради</w:t>
            </w:r>
          </w:p>
          <w:p w:rsidR="00197D40" w:rsidRPr="007B42AB" w:rsidRDefault="00197D40" w:rsidP="00C6688B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Default="00B22DB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0110150</w:t>
            </w: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Default="002B2265" w:rsidP="00B22D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2265" w:rsidRPr="007B42AB" w:rsidRDefault="002B2265" w:rsidP="00CF3B7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D3CC2" w:rsidRDefault="001D3CC2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D3CC2" w:rsidRDefault="001D3CC2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F3B75" w:rsidRDefault="00CF3B75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D3CC2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2111</w:t>
            </w:r>
          </w:p>
          <w:p w:rsidR="00CF3B75" w:rsidRDefault="00CF3B75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2120</w:t>
            </w:r>
          </w:p>
          <w:p w:rsidR="00E97ECA" w:rsidRPr="00CF3B75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E97ECA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CF3B75" w:rsidRPr="00E97ECA" w:rsidRDefault="00CF3B75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E97ECA" w:rsidRDefault="00E97ECA" w:rsidP="00CF3B7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2111</w:t>
            </w:r>
          </w:p>
          <w:p w:rsidR="00E97ECA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2120</w:t>
            </w:r>
          </w:p>
          <w:p w:rsidR="00E97ECA" w:rsidRPr="00AB5136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E97ECA" w:rsidRPr="00AB5136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AB5136" w:rsidRPr="00AB5136" w:rsidRDefault="00AB5136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E97ECA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2111</w:t>
            </w:r>
          </w:p>
          <w:p w:rsidR="00E97ECA" w:rsidRDefault="00E97EC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2120</w:t>
            </w:r>
          </w:p>
          <w:p w:rsidR="001D3CC2" w:rsidRPr="007B42AB" w:rsidRDefault="00E97ECA" w:rsidP="00CF3B7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58F5" w:rsidRPr="007B42AB" w:rsidRDefault="008B2571" w:rsidP="008B2571">
            <w:pPr>
              <w:spacing w:after="24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lastRenderedPageBreak/>
              <w:t xml:space="preserve"> </w:t>
            </w:r>
            <w:r w:rsidR="00C6688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4500</w:t>
            </w:r>
            <w:r w:rsidR="00D33D17" w:rsidRPr="007B42A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0</w:t>
            </w:r>
            <w:r w:rsidRPr="007B42A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0,00грн</w:t>
            </w:r>
            <w:r w:rsidR="00F30CF7" w:rsidRPr="007B42A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 xml:space="preserve">, </w:t>
            </w:r>
            <w:r w:rsidR="00F30CF7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т.ч.</w:t>
            </w:r>
            <w:r w:rsidR="00CE58F5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0CF7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="00CE58F5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іжбюджетні трансферти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надані</w:t>
            </w:r>
            <w:r w:rsidR="00CE58F5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:</w:t>
            </w:r>
          </w:p>
          <w:p w:rsidR="00197D40" w:rsidRDefault="00CE58F5" w:rsidP="008B2571">
            <w:pPr>
              <w:spacing w:after="24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-Пирятинсько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ю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місько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ю територіальною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громад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ою</w:t>
            </w:r>
            <w:r w:rsidR="00C6688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20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0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000,00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грн</w:t>
            </w:r>
            <w:r w:rsidR="00197D40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:</w:t>
            </w:r>
          </w:p>
          <w:p w:rsidR="00197D40" w:rsidRDefault="00CF3B75" w:rsidP="008B2571">
            <w:pPr>
              <w:spacing w:after="24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170000,00</w:t>
            </w:r>
            <w:r w:rsidR="00197D40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грн;</w:t>
            </w:r>
          </w:p>
          <w:p w:rsidR="00197D40" w:rsidRDefault="00197D40" w:rsidP="008B2571">
            <w:pPr>
              <w:spacing w:after="24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3</w:t>
            </w:r>
            <w:r w:rsidR="00CF3B75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0000,00грн.</w:t>
            </w:r>
          </w:p>
          <w:p w:rsidR="001D3CC2" w:rsidRDefault="00CE58F5" w:rsidP="008B2571">
            <w:pPr>
              <w:spacing w:after="24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Хорольською міською територіальною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громад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ою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3CC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CF3B75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20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0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000,00грн</w:t>
            </w:r>
            <w:r w:rsidR="001D3CC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:</w:t>
            </w:r>
          </w:p>
          <w:p w:rsidR="001D3CC2" w:rsidRDefault="00CF3B75" w:rsidP="008B2571">
            <w:pPr>
              <w:spacing w:after="24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  <w:r w:rsidR="001D3C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0 000,00грн</w:t>
            </w:r>
            <w:r w:rsidR="00CE58F5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,</w:t>
            </w:r>
          </w:p>
          <w:p w:rsidR="001D3CC2" w:rsidRDefault="00CF3B75" w:rsidP="008B25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1D3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0677E9" w:rsidRDefault="00CE58F5" w:rsidP="00CE58F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- Чорнухинсько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ю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селищно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ю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територіально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ю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громад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ою</w:t>
            </w:r>
            <w:r w:rsidR="005056C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50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0</w:t>
            </w:r>
            <w:r w:rsidR="00F30CF7"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00,00</w:t>
            </w:r>
            <w:r w:rsidRPr="007B42AB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грн</w:t>
            </w:r>
            <w:r w:rsidR="008B2571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5056CF" w:rsidRDefault="005056CF" w:rsidP="00CE58F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32000,00грн;</w:t>
            </w:r>
          </w:p>
          <w:p w:rsidR="005056CF" w:rsidRDefault="005056CF" w:rsidP="00CE58F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5000,00грн;</w:t>
            </w:r>
          </w:p>
          <w:p w:rsidR="005056CF" w:rsidRPr="00CF3B75" w:rsidRDefault="005056CF" w:rsidP="00CE58F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13000,00грн.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DD6976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матеріально-технічної бази районної ради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матеріально-технічної бази районної ради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56CF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та обслуговування</w:t>
            </w:r>
            <w:r w:rsidR="005056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677E9" w:rsidRDefault="005056CF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677E9"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електронної системи персонального голосування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056CF" w:rsidRPr="007B42AB" w:rsidRDefault="005056CF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-відеокамер, системи відео фіксації, запису та трансляції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5056CF" w:rsidRDefault="005056CF" w:rsidP="00802DC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0677E9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  <w:r w:rsidR="007B42AB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77E9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000,00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56CF" w:rsidRDefault="005056CF" w:rsidP="005056CF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та обслуговування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056CF" w:rsidRDefault="005056CF" w:rsidP="005056CF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електронної системи персонального голосування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677E9" w:rsidRPr="007B42AB" w:rsidRDefault="005056CF" w:rsidP="005056CF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-відеокамер, системи відео фіксації, запису та трансляції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pStyle w:val="Default"/>
              <w:tabs>
                <w:tab w:val="left" w:pos="851"/>
              </w:tabs>
              <w:spacing w:before="120" w:after="120"/>
              <w:jc w:val="center"/>
              <w:rPr>
                <w:rFonts w:eastAsia="SimSun"/>
                <w:b/>
                <w:color w:val="auto"/>
                <w:lang w:val="uk-UA"/>
              </w:rPr>
            </w:pPr>
            <w:r w:rsidRPr="007B42AB">
              <w:rPr>
                <w:rFonts w:eastAsia="SimSun"/>
                <w:b/>
                <w:color w:val="auto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6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системи звукового супроводу засідань сесій та системи відео трансляції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5056CF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0677E9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7B42AB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000,00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системи звукового супроводу засідань сесій та системи відео трансляції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802DC0">
            <w:pPr>
              <w:pStyle w:val="Default"/>
              <w:tabs>
                <w:tab w:val="left" w:pos="851"/>
              </w:tabs>
              <w:spacing w:before="120" w:after="120"/>
              <w:jc w:val="center"/>
              <w:rPr>
                <w:rFonts w:eastAsia="SimSun"/>
                <w:b/>
                <w:color w:val="auto"/>
                <w:lang w:val="uk-UA"/>
              </w:rPr>
            </w:pPr>
            <w:r w:rsidRPr="007B42AB">
              <w:rPr>
                <w:rFonts w:eastAsia="SimSun"/>
                <w:b/>
                <w:color w:val="auto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ремонту орендованого приміщення, в якому знаходиться районна рада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122ED2" w:rsidP="00122ED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122ED2" w:rsidP="00122ED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122ED2" w:rsidP="00122ED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122ED2" w:rsidP="00122ED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0677E9" w:rsidP="007904D0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ремонту орендованого приміщення, в якому знаходиться районна рада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122ED2" w:rsidP="00122ED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122ED2" w:rsidP="00122ED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122ED2" w:rsidP="00122ED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DD6976">
            <w:pPr>
              <w:pStyle w:val="Default"/>
              <w:tabs>
                <w:tab w:val="left" w:pos="851"/>
              </w:tabs>
              <w:spacing w:before="120" w:after="120"/>
              <w:rPr>
                <w:rFonts w:eastAsia="SimSun"/>
                <w:color w:val="auto"/>
                <w:lang w:val="uk-UA"/>
              </w:rPr>
            </w:pPr>
            <w:r w:rsidRPr="007B42AB">
              <w:rPr>
                <w:rFonts w:eastAsia="SimSun"/>
                <w:color w:val="auto"/>
                <w:lang w:val="uk-UA"/>
              </w:rPr>
              <w:t xml:space="preserve">Відзначення та </w:t>
            </w:r>
            <w:r w:rsidRPr="007B42AB">
              <w:rPr>
                <w:rFonts w:eastAsia="SimSun"/>
                <w:color w:val="auto"/>
                <w:lang w:val="uk-UA"/>
              </w:rPr>
              <w:lastRenderedPageBreak/>
              <w:t>заохочення кращих працівників та трудових колективів підприємств, установ і організацій усіх форм власності, громадських об’єднань Лубенського району, які внесли вагомий внесок в економічний, соціальний та культурний розвиток району, ведуть активну громадську і благодійну діяльність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0110180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84A" w:rsidRDefault="0094084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2210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5056CF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0677E9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7B42AB" w:rsidRPr="0050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000,00</w:t>
            </w:r>
            <w:r w:rsid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77E9" w:rsidRPr="007B42AB" w:rsidRDefault="000677E9" w:rsidP="0094084A">
            <w:pPr>
              <w:pStyle w:val="Default"/>
              <w:tabs>
                <w:tab w:val="left" w:pos="851"/>
              </w:tabs>
              <w:spacing w:before="120" w:after="120"/>
              <w:rPr>
                <w:rFonts w:eastAsia="SimSun"/>
                <w:color w:val="auto"/>
                <w:lang w:val="uk-UA"/>
              </w:rPr>
            </w:pPr>
            <w:r w:rsidRPr="007B42AB">
              <w:rPr>
                <w:rFonts w:eastAsia="SimSun"/>
                <w:color w:val="auto"/>
                <w:lang w:val="uk-UA"/>
              </w:rPr>
              <w:t xml:space="preserve">Відзначення та </w:t>
            </w:r>
            <w:r w:rsidRPr="007B42AB">
              <w:rPr>
                <w:rFonts w:eastAsia="SimSun"/>
                <w:color w:val="auto"/>
                <w:lang w:val="uk-UA"/>
              </w:rPr>
              <w:lastRenderedPageBreak/>
              <w:t>заохочення кращих працівників та трудових колективів підприємств, установ і організацій усіх форм власності, громадських об’єднань Лубенського району, які внесли вагомий внесок в економічний, соціальний та культурний розвиток району, ведуть активну громадську і благодійну діяльність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0110180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84A" w:rsidRDefault="0094084A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2210</w:t>
            </w:r>
          </w:p>
          <w:p w:rsidR="000677E9" w:rsidRPr="007B42AB" w:rsidRDefault="000677E9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7E9" w:rsidRPr="007B42AB" w:rsidRDefault="005056CF" w:rsidP="005056C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B31E5" w:rsidP="005B31E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щорічних членських внесків до Української асоціації районних та обласних рад, членом якої є Лубенська районна рада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0117680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5B31E5" w:rsidRDefault="005B31E5" w:rsidP="005B31E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B31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000,00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B31E5" w:rsidP="005B31E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вень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56CF" w:rsidRPr="007B42AB" w:rsidRDefault="0094084A" w:rsidP="0094084A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щорічних членських внесків до Української асоціації районних та обласних рад, членом якої є Лубенська районна рада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0117680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2800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5B31E5" w:rsidRDefault="005B31E5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B31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5056CF" w:rsidRPr="005B31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000,00грн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F83D3D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F83D3D" w:rsidRDefault="00F83D3D" w:rsidP="00F83D3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5056CF"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</w:t>
            </w:r>
            <w:r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5056CF"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щорічних членських внесків до Асоціації «Полтавської обласної асоціації органів місцевого самоврядування», членом якої є Лубенська районна рада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F83D3D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0117680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F83D3D" w:rsidRDefault="005056CF" w:rsidP="00F83D3D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F83D3D"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000,00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F83D3D" w:rsidP="00F83D3D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Траве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F83D3D" w:rsidP="0094084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Сплата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щорічних членських внесків до Асоціації «Полтавської обласної асоціації органів місцевого самоврядування», членом якої є Лубенська районна 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рада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0117680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2800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F83D3D" w:rsidRDefault="005056CF" w:rsidP="0094084A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3D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10 000,00грн</w:t>
            </w:r>
          </w:p>
        </w:tc>
      </w:tr>
      <w:tr w:rsidR="0056029B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56029B" w:rsidRDefault="0056029B" w:rsidP="00DD6976">
            <w:pPr>
              <w:pStyle w:val="Default"/>
              <w:tabs>
                <w:tab w:val="left" w:pos="851"/>
              </w:tabs>
              <w:rPr>
                <w:color w:val="auto"/>
                <w:lang w:val="uk-UA"/>
              </w:rPr>
            </w:pPr>
            <w:r w:rsidRPr="0056029B">
              <w:rPr>
                <w:rFonts w:eastAsia="SimSun"/>
                <w:color w:val="auto"/>
                <w:lang w:val="uk-UA"/>
              </w:rPr>
              <w:t>Інформаційний супровід подій із життєдіяльності Лубенського району, представлення на зовнішніх комунікаційних платформах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C507BB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C507BB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C507BB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C507BB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29B" w:rsidRPr="007B42AB" w:rsidRDefault="0056029B" w:rsidP="007904D0">
            <w:pPr>
              <w:pStyle w:val="Default"/>
              <w:tabs>
                <w:tab w:val="left" w:pos="851"/>
              </w:tabs>
              <w:jc w:val="both"/>
              <w:rPr>
                <w:color w:val="auto"/>
                <w:lang w:val="uk-UA"/>
              </w:rPr>
            </w:pPr>
            <w:r w:rsidRPr="0056029B">
              <w:rPr>
                <w:rFonts w:eastAsia="SimSun"/>
                <w:color w:val="auto"/>
                <w:lang w:val="uk-UA"/>
              </w:rPr>
              <w:t>Інформаційний супровід подій із життєдіяльності Лубенського району, представлення на зовнішніх комунікаційних платформах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C507BB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C507BB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9B" w:rsidRPr="007B42AB" w:rsidRDefault="0056029B" w:rsidP="00C507BB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DD6976">
            <w:pPr>
              <w:pStyle w:val="Default"/>
              <w:tabs>
                <w:tab w:val="left" w:pos="851"/>
              </w:tabs>
              <w:rPr>
                <w:color w:val="auto"/>
                <w:lang w:val="uk-UA"/>
              </w:rPr>
            </w:pPr>
            <w:r w:rsidRPr="007B42AB">
              <w:rPr>
                <w:color w:val="auto"/>
                <w:lang w:val="uk-UA"/>
              </w:rPr>
              <w:t>Організація прийомів делегацій, виготовлення презентаційних матеріалів, нагород, придбання товарів із символікою району.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A50A31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A50A31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C92C94" w:rsidP="00A50A31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60000,00грн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A50A31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56CF" w:rsidRPr="007B42AB" w:rsidRDefault="005056CF" w:rsidP="007904D0">
            <w:pPr>
              <w:pStyle w:val="Default"/>
              <w:tabs>
                <w:tab w:val="left" w:pos="851"/>
              </w:tabs>
              <w:jc w:val="both"/>
              <w:rPr>
                <w:color w:val="auto"/>
                <w:lang w:val="uk-UA"/>
              </w:rPr>
            </w:pPr>
            <w:r w:rsidRPr="007B42AB">
              <w:rPr>
                <w:color w:val="auto"/>
                <w:lang w:val="uk-UA"/>
              </w:rPr>
              <w:t>Організація прийомів делегацій, виготовлення презентаційних матеріалів, нагород, придбання товарів із символікою району.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A50A31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A50A31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A50A31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C92C94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="005056CF"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C92C94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Підтримка належного функціонування субрегіонального рівня (районних рад), направленого на забезпечення виконання повноважень районних рад, передбачених чинним законодавством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0110150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C94" w:rsidRPr="007B42AB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C92C94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  <w:r w:rsidR="00C92C94"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000,00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C92C94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Підтримка належного функціонування субрегіонального рівня (районних рад), направленого на забезпечення виконання повноважень районних рад, передбачених чинним законодавством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0110150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C92C94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056CF" w:rsidRPr="007B42AB" w:rsidTr="005056CF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C92C94" w:rsidRDefault="005056CF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C94" w:rsidRPr="00C92C94" w:rsidRDefault="00C92C94" w:rsidP="00C92C94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Об’єднання українського суспільства через поширення інформації про життєвий шлях та творчість Василя </w:t>
            </w: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Симоненка.</w:t>
            </w:r>
          </w:p>
          <w:p w:rsidR="005056CF" w:rsidRPr="00C92C94" w:rsidRDefault="00C92C94" w:rsidP="00C92C9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Збереження та популяризація культурної спадщини.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C92C94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C92C94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C92C94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  <w:r w:rsidR="005056CF"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000,00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C92C94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2C94" w:rsidRPr="00C92C94" w:rsidRDefault="00C92C94" w:rsidP="00C92C94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Об’єднання українського суспільства через поширення інформації про життєвий шлях та </w:t>
            </w: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творчість Василя Симоненка.</w:t>
            </w:r>
          </w:p>
          <w:p w:rsidR="005056CF" w:rsidRPr="00C92C94" w:rsidRDefault="00C92C94" w:rsidP="00C92C9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2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Збереження та популяризація культурної спадщини.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C92C94" w:rsidP="007904D0">
            <w:pPr>
              <w:spacing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5056CF" w:rsidRPr="007B42AB" w:rsidTr="00C92C94">
        <w:trPr>
          <w:trHeight w:val="1"/>
        </w:trPr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C92C9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F45422" w:rsidRDefault="00F45422" w:rsidP="00C92C9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18550</w:t>
            </w:r>
            <w:r w:rsidR="005056CF" w:rsidRP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00,00грн.</w:t>
            </w:r>
          </w:p>
        </w:tc>
        <w:tc>
          <w:tcPr>
            <w:tcW w:w="5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7B42AB" w:rsidRDefault="005056CF" w:rsidP="00C92C9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42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6CF" w:rsidRPr="00F45422" w:rsidRDefault="00F45422" w:rsidP="00C92C94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464000,00</w:t>
            </w:r>
            <w:r w:rsidR="005056CF" w:rsidRPr="00F454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:rsidR="00654E62" w:rsidRPr="005C1B39" w:rsidRDefault="00654E62" w:rsidP="00654E6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:rsidR="00654E62" w:rsidRPr="00281B43" w:rsidRDefault="00654E62" w:rsidP="00654E6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3.Аналіз використання коштів Програми згідно з проведеними витратами </w:t>
      </w:r>
    </w:p>
    <w:tbl>
      <w:tblPr>
        <w:tblW w:w="152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1402"/>
        <w:gridCol w:w="1275"/>
        <w:gridCol w:w="2427"/>
        <w:gridCol w:w="4893"/>
      </w:tblGrid>
      <w:tr w:rsidR="00654E62" w:rsidTr="00DE6E7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FA546F" w:rsidRDefault="00654E62" w:rsidP="007904D0">
            <w:pPr>
              <w:spacing w:after="0" w:line="240" w:lineRule="auto"/>
              <w:jc w:val="center"/>
            </w:pPr>
            <w:r w:rsidRPr="00FA546F">
              <w:rPr>
                <w:rFonts w:ascii="Times New Roman" w:eastAsia="Times New Roman" w:hAnsi="Times New Roman" w:cs="Times New Roman"/>
                <w:sz w:val="24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FA546F" w:rsidRDefault="00654E62" w:rsidP="007904D0">
            <w:pPr>
              <w:spacing w:after="0" w:line="240" w:lineRule="auto"/>
              <w:jc w:val="center"/>
            </w:pPr>
            <w:r w:rsidRPr="00FA546F">
              <w:rPr>
                <w:rFonts w:ascii="Times New Roman" w:eastAsia="Times New Roman" w:hAnsi="Times New Roman" w:cs="Times New Roman"/>
                <w:sz w:val="24"/>
              </w:rPr>
              <w:t>Витрачені кошти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FA546F" w:rsidRDefault="00654E62" w:rsidP="007904D0">
            <w:pPr>
              <w:spacing w:after="0" w:line="240" w:lineRule="auto"/>
              <w:jc w:val="center"/>
            </w:pPr>
            <w:r w:rsidRPr="00FA546F">
              <w:rPr>
                <w:rFonts w:ascii="Times New Roman" w:eastAsia="Times New Roman" w:hAnsi="Times New Roman" w:cs="Times New Roman"/>
                <w:sz w:val="24"/>
              </w:rPr>
              <w:t>Одиниці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FA546F" w:rsidRDefault="00654E62" w:rsidP="007904D0">
            <w:pPr>
              <w:spacing w:after="0" w:line="240" w:lineRule="auto"/>
              <w:jc w:val="center"/>
            </w:pPr>
            <w:r w:rsidRPr="00FA546F">
              <w:rPr>
                <w:rFonts w:ascii="Times New Roman" w:eastAsia="Times New Roman" w:hAnsi="Times New Roman" w:cs="Times New Roman"/>
                <w:sz w:val="24"/>
              </w:rPr>
              <w:t>Кільксть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FA546F" w:rsidRDefault="00654E62" w:rsidP="007904D0">
            <w:pPr>
              <w:spacing w:after="0" w:line="240" w:lineRule="auto"/>
              <w:jc w:val="center"/>
            </w:pPr>
            <w:r w:rsidRPr="00FA546F">
              <w:rPr>
                <w:rFonts w:ascii="Times New Roman" w:eastAsia="Times New Roman" w:hAnsi="Times New Roman" w:cs="Times New Roman"/>
                <w:sz w:val="24"/>
              </w:rPr>
              <w:t>Сума витрат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62" w:rsidRPr="00FA546F" w:rsidRDefault="00654E62" w:rsidP="007904D0">
            <w:pPr>
              <w:spacing w:after="0" w:line="240" w:lineRule="auto"/>
              <w:jc w:val="center"/>
            </w:pPr>
            <w:r w:rsidRPr="00FA546F">
              <w:rPr>
                <w:rFonts w:ascii="Times New Roman" w:eastAsia="Times New Roman" w:hAnsi="Times New Roman" w:cs="Times New Roman"/>
                <w:sz w:val="24"/>
              </w:rPr>
              <w:t>Контрагент*</w:t>
            </w:r>
          </w:p>
        </w:tc>
      </w:tr>
      <w:tr w:rsidR="008E2647" w:rsidRPr="000A005F" w:rsidTr="00DE6E7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A546F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Default="00FC7A1E">
            <w:r w:rsidRPr="00212E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поточних витрат на утримання районної ради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A546F" w:rsidRDefault="008E2647" w:rsidP="005E5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A546F" w:rsidRDefault="008E2647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A546F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4500</w:t>
            </w:r>
            <w:r w:rsidR="008E26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00,00грн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C7A1E" w:rsidRDefault="00FC7A1E" w:rsidP="002C3B9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Міжбюджетні трансферти Пирятинської міської територіальної громади в сумі 200,0тис.грн, Хорольської міської територіальної громади в сумі 200,0тис.грн, Чорнухинської селищної територіальної громади в сумі 50,0тис.грн використано в повному обсязі на здійснення поточних видатків Лубенською районною радою, а саме: заробітна плата, нарахування на оплату праці, о</w:t>
            </w:r>
            <w:r w:rsidRPr="0028673C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плата теплопостачання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C7A1E" w:rsidRPr="0094084A" w:rsidTr="00FC7A1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Pr="00C77CCC" w:rsidRDefault="00FC7A1E" w:rsidP="00FC7A1E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щорічних членських внесків до Української асоціації районних та обласних рад, членом якої є Лубенська районна рада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Pr="00FA546F" w:rsidRDefault="00FC7A1E" w:rsidP="005E5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Pr="00FA546F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4 000,00грн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7A1E" w:rsidRPr="00E6782F" w:rsidRDefault="00FC7A1E" w:rsidP="00C50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Лубенська районна рада є членом Української асоціації районних та обласних рад. </w:t>
            </w:r>
          </w:p>
          <w:p w:rsidR="00FC7A1E" w:rsidRPr="00E6782F" w:rsidRDefault="00FC7A1E" w:rsidP="00C50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Відповідно до Рішення Правління Української асоціації районних та обласних рад від 23.01.2025 №2 «Про сплату членських внесків на 2025 рік» Лубенська районна рада, як член УАРОР, сплатила щорічний членський внесок у 2025 році у фіксованій сумі </w:t>
            </w:r>
          </w:p>
          <w:p w:rsidR="00FC7A1E" w:rsidRPr="00E6782F" w:rsidRDefault="00FC7A1E" w:rsidP="00C50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4,0 тис.грн.</w:t>
            </w:r>
          </w:p>
        </w:tc>
      </w:tr>
      <w:tr w:rsidR="00FC7A1E" w:rsidRPr="000A005F" w:rsidTr="00FC7A1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Pr="00C77CCC" w:rsidRDefault="00FC7A1E" w:rsidP="00FC7A1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P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щорічних членських внесків до </w:t>
            </w:r>
            <w:r w:rsidRP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Асоціації «Полтавської обласної асоціації органів місцевого самоврядування», членом якої є Лубенська районна рада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Pr="00FA546F" w:rsidRDefault="00FC7A1E" w:rsidP="005E5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Pr="00FA546F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A1E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10 000,00грн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7A1E" w:rsidRPr="00E6782F" w:rsidRDefault="00FC7A1E" w:rsidP="00C507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Лубенська районна рада є членом Асоціації "Полтавська обласна асоціація органів </w:t>
            </w: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місцевого самоврядування". Відповідно до Рішення Правління Асоціації «Полтавська обласна асоціація органів місцевого самоврядування» від 17.10.2024 №30 «Про затвердження розміру та порядку сплати членських внесків Асоціації «ПОАОМС» Лубенська районна рада, як член Асоціації «Полтавської обласної асоціації органів місцевого самоврядування», сплатила щорічний членський внесок у 2025 році в сумі 10,0 тис.грн.</w:t>
            </w:r>
          </w:p>
        </w:tc>
      </w:tr>
      <w:tr w:rsidR="008E2647" w:rsidTr="00DE6E7E">
        <w:trPr>
          <w:trHeight w:val="1"/>
        </w:trPr>
        <w:tc>
          <w:tcPr>
            <w:tcW w:w="7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A546F" w:rsidRDefault="008E2647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РАЗОМ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A546F" w:rsidRDefault="00FC7A1E" w:rsidP="00790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464000,00</w:t>
            </w:r>
            <w:r w:rsidR="008E26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647" w:rsidRPr="00FA546F" w:rsidRDefault="008E2647" w:rsidP="005E6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A5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*</w:t>
            </w:r>
          </w:p>
        </w:tc>
      </w:tr>
    </w:tbl>
    <w:p w:rsidR="00654E62" w:rsidRDefault="00654E62" w:rsidP="008D5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* отримувач коштів </w:t>
      </w:r>
      <w:r w:rsidR="008D5CE3">
        <w:rPr>
          <w:rFonts w:ascii="Times New Roman" w:eastAsia="Times New Roman" w:hAnsi="Times New Roman" w:cs="Times New Roman"/>
          <w:sz w:val="24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перераховуються всі статті витрат, профінансовані в рамках Програми</w:t>
      </w:r>
    </w:p>
    <w:p w:rsidR="00654E62" w:rsidRDefault="00654E62" w:rsidP="00654E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54E62" w:rsidRDefault="00654E62" w:rsidP="00654E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 Аналіз виконання результативних показників, що характеризують виконання Програми, та пояснення щодо їх виконання за звітний період: </w:t>
      </w:r>
    </w:p>
    <w:tbl>
      <w:tblPr>
        <w:tblW w:w="15269" w:type="dxa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0"/>
        <w:gridCol w:w="1705"/>
        <w:gridCol w:w="814"/>
        <w:gridCol w:w="127"/>
        <w:gridCol w:w="1001"/>
        <w:gridCol w:w="110"/>
        <w:gridCol w:w="910"/>
        <w:gridCol w:w="223"/>
        <w:gridCol w:w="877"/>
        <w:gridCol w:w="409"/>
        <w:gridCol w:w="106"/>
        <w:gridCol w:w="532"/>
        <w:gridCol w:w="885"/>
        <w:gridCol w:w="496"/>
        <w:gridCol w:w="861"/>
        <w:gridCol w:w="1065"/>
        <w:gridCol w:w="998"/>
        <w:gridCol w:w="106"/>
        <w:gridCol w:w="733"/>
        <w:gridCol w:w="10"/>
        <w:gridCol w:w="691"/>
        <w:gridCol w:w="146"/>
        <w:gridCol w:w="33"/>
        <w:gridCol w:w="777"/>
        <w:gridCol w:w="321"/>
        <w:gridCol w:w="126"/>
        <w:gridCol w:w="670"/>
      </w:tblGrid>
      <w:tr w:rsidR="00C56657" w:rsidTr="00314C1E">
        <w:trPr>
          <w:trHeight w:val="1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№ з/п</w:t>
            </w:r>
          </w:p>
        </w:tc>
        <w:tc>
          <w:tcPr>
            <w:tcW w:w="2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Показники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Одиниця виміру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Джерело інформації</w:t>
            </w:r>
          </w:p>
        </w:tc>
        <w:tc>
          <w:tcPr>
            <w:tcW w:w="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Затверджено паспортом районної (бюджетної) Програми на звітний період, грн.</w:t>
            </w:r>
          </w:p>
        </w:tc>
        <w:tc>
          <w:tcPr>
            <w:tcW w:w="2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Виконано за звітний період, грн.</w:t>
            </w:r>
          </w:p>
        </w:tc>
        <w:tc>
          <w:tcPr>
            <w:tcW w:w="2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Відхилення</w:t>
            </w:r>
          </w:p>
        </w:tc>
      </w:tr>
      <w:tr w:rsidR="00C56657" w:rsidTr="00314C1E">
        <w:trPr>
          <w:trHeight w:val="1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2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 тому числі: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 тому числі:</w:t>
            </w: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 тому числі:</w:t>
            </w:r>
          </w:p>
        </w:tc>
      </w:tr>
      <w:tr w:rsidR="00C56657" w:rsidTr="002A511E">
        <w:trPr>
          <w:trHeight w:val="1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131" w:right="-101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 xml:space="preserve">спец. </w:t>
            </w:r>
            <w:r w:rsidRPr="000D5F2D">
              <w:rPr>
                <w:rFonts w:ascii="Times New Roman" w:eastAsia="Times New Roman" w:hAnsi="Times New Roman" w:cs="Times New Roman"/>
              </w:rPr>
              <w:br/>
              <w:t>фонд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143" w:right="-64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152" w:right="-101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 xml:space="preserve">спец. </w:t>
            </w:r>
            <w:r w:rsidRPr="000D5F2D">
              <w:rPr>
                <w:rFonts w:ascii="Times New Roman" w:eastAsia="Times New Roman" w:hAnsi="Times New Roman" w:cs="Times New Roman"/>
              </w:rPr>
              <w:br/>
              <w:t>фонд</w:t>
            </w:r>
          </w:p>
        </w:tc>
        <w:tc>
          <w:tcPr>
            <w:tcW w:w="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54E62" w:rsidRPr="000D5F2D" w:rsidRDefault="00654E62" w:rsidP="007904D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спец. фонд</w:t>
            </w:r>
          </w:p>
        </w:tc>
      </w:tr>
      <w:tr w:rsidR="00F573DC" w:rsidRPr="00B07937" w:rsidTr="009F36D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EF58E1" w:rsidRPr="00B07937" w:rsidRDefault="00EF58E1" w:rsidP="0079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7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58E1" w:rsidRDefault="00F930DA" w:rsidP="00EF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Завдання 1</w:t>
            </w:r>
          </w:p>
          <w:p w:rsidR="00EF58E1" w:rsidRPr="00B07937" w:rsidRDefault="00EF58E1" w:rsidP="00F9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Забезпечення здійснення поточних витрат на утримання районної ради</w:t>
            </w:r>
            <w:r w:rsidR="00143A6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EF58E1" w:rsidRPr="0027540A" w:rsidRDefault="00EF58E1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7540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Затрат: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F58E1" w:rsidRPr="0027540A" w:rsidRDefault="00EF58E1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58E1" w:rsidRPr="0027540A" w:rsidRDefault="00EF58E1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F930DA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</w:t>
            </w:r>
            <w:r w:rsidR="00F930DA">
              <w:rPr>
                <w:rFonts w:ascii="Times New Roman" w:eastAsia="Times New Roman" w:hAnsi="Times New Roman" w:cs="Times New Roman"/>
                <w:lang w:val="uk-UA"/>
              </w:rPr>
              <w:t>на здійснення поточних витрат на утримання районної ради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27540A">
              <w:rPr>
                <w:color w:val="auto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pStyle w:val="a3"/>
              <w:jc w:val="center"/>
              <w:rPr>
                <w:color w:val="auto"/>
                <w:sz w:val="22"/>
                <w:szCs w:val="22"/>
                <w:lang w:val="uk-UA"/>
              </w:rPr>
            </w:pPr>
            <w:r w:rsidRPr="0027540A">
              <w:rPr>
                <w:color w:val="auto"/>
                <w:sz w:val="22"/>
                <w:szCs w:val="22"/>
                <w:lang w:val="uk-UA"/>
              </w:rPr>
              <w:t>Кошторис, Довідка про зміни до кошторису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450000</w:t>
            </w:r>
            <w:r w:rsidR="00264E36" w:rsidRPr="0027540A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450000</w:t>
            </w:r>
            <w:r w:rsidR="00F930DA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F930DA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450000</w:t>
            </w:r>
            <w:r w:rsidR="00264E36" w:rsidRPr="0027540A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450000</w:t>
            </w:r>
            <w:r w:rsidR="00264E36" w:rsidRPr="0027540A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  <w:p w:rsidR="00264E36" w:rsidRPr="0027540A" w:rsidRDefault="00264E36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7540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Продукту: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4E36" w:rsidRPr="0027540A" w:rsidRDefault="00264E36" w:rsidP="00F930DA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264E3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7540A">
              <w:rPr>
                <w:rFonts w:ascii="Times New Roman" w:hAnsi="Times New Roman" w:cs="Times New Roman"/>
                <w:color w:val="000000"/>
                <w:lang w:val="uk-UA"/>
              </w:rPr>
              <w:t>Кількість штатних одиниць</w:t>
            </w:r>
            <w:r w:rsidR="00314C1E">
              <w:rPr>
                <w:rFonts w:ascii="Times New Roman" w:hAnsi="Times New Roman" w:cs="Times New Roman"/>
                <w:color w:val="000000"/>
                <w:lang w:val="uk-UA"/>
              </w:rPr>
              <w:t>, в т.ч.:</w:t>
            </w:r>
          </w:p>
          <w:p w:rsidR="00264E36" w:rsidRDefault="00314C1E" w:rsidP="00314C1E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жінок</w:t>
            </w:r>
          </w:p>
          <w:p w:rsidR="00314C1E" w:rsidRPr="00314C1E" w:rsidRDefault="00314C1E" w:rsidP="00314C1E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чоловіків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Default="00314C1E" w:rsidP="00C6688B">
            <w:pPr>
              <w:pStyle w:val="a3"/>
              <w:spacing w:line="240" w:lineRule="auto"/>
              <w:jc w:val="center"/>
              <w:textAlignment w:val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о</w:t>
            </w:r>
            <w:r w:rsidR="00264E36" w:rsidRPr="0027540A">
              <w:rPr>
                <w:sz w:val="22"/>
                <w:szCs w:val="22"/>
                <w:lang w:val="uk-UA"/>
              </w:rPr>
              <w:t>диниць</w:t>
            </w:r>
          </w:p>
          <w:p w:rsidR="00314C1E" w:rsidRDefault="00314C1E" w:rsidP="00C6688B">
            <w:pPr>
              <w:pStyle w:val="a3"/>
              <w:spacing w:line="240" w:lineRule="auto"/>
              <w:jc w:val="center"/>
              <w:textAlignment w:val="auto"/>
              <w:rPr>
                <w:sz w:val="22"/>
                <w:szCs w:val="22"/>
                <w:lang w:val="uk-UA"/>
              </w:rPr>
            </w:pPr>
          </w:p>
          <w:p w:rsidR="00314C1E" w:rsidRDefault="00314C1E" w:rsidP="00C6688B">
            <w:pPr>
              <w:pStyle w:val="a3"/>
              <w:spacing w:line="240" w:lineRule="auto"/>
              <w:jc w:val="center"/>
              <w:textAlignment w:val="auto"/>
              <w:rPr>
                <w:sz w:val="22"/>
                <w:szCs w:val="22"/>
                <w:lang w:val="uk-UA"/>
              </w:rPr>
            </w:pPr>
          </w:p>
          <w:p w:rsidR="00314C1E" w:rsidRDefault="00314C1E" w:rsidP="00C6688B">
            <w:pPr>
              <w:pStyle w:val="a3"/>
              <w:spacing w:line="240" w:lineRule="auto"/>
              <w:jc w:val="center"/>
              <w:textAlignment w:val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27540A">
              <w:rPr>
                <w:sz w:val="22"/>
                <w:szCs w:val="22"/>
                <w:lang w:val="uk-UA"/>
              </w:rPr>
              <w:t>диниць</w:t>
            </w:r>
          </w:p>
          <w:p w:rsidR="00314C1E" w:rsidRDefault="00314C1E" w:rsidP="00C6688B">
            <w:pPr>
              <w:pStyle w:val="a3"/>
              <w:spacing w:line="240" w:lineRule="auto"/>
              <w:jc w:val="center"/>
              <w:textAlignment w:val="auto"/>
              <w:rPr>
                <w:sz w:val="22"/>
                <w:szCs w:val="22"/>
                <w:lang w:val="uk-UA"/>
              </w:rPr>
            </w:pPr>
          </w:p>
          <w:p w:rsidR="00314C1E" w:rsidRPr="0027540A" w:rsidRDefault="00314C1E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27540A">
              <w:rPr>
                <w:sz w:val="22"/>
                <w:szCs w:val="22"/>
                <w:lang w:val="uk-UA"/>
              </w:rPr>
              <w:t xml:space="preserve"> одиниць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27540A">
              <w:rPr>
                <w:color w:val="auto"/>
                <w:sz w:val="22"/>
                <w:szCs w:val="22"/>
                <w:lang w:val="uk-UA"/>
              </w:rPr>
              <w:lastRenderedPageBreak/>
              <w:t>Штатний розпис, облікова чисельність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314C1E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14,5</w:t>
            </w:r>
          </w:p>
          <w:p w:rsidR="00264E36" w:rsidRDefault="00264E36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7,5</w:t>
            </w:r>
          </w:p>
          <w:p w:rsidR="00314C1E" w:rsidRDefault="00314C1E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Pr="0027540A" w:rsidRDefault="00314C1E" w:rsidP="0026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7,0</w:t>
            </w:r>
          </w:p>
          <w:p w:rsidR="00264E36" w:rsidRPr="0027540A" w:rsidRDefault="00264E3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14C1E" w:rsidRPr="0027540A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14,5</w:t>
            </w: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7,5</w:t>
            </w: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Default="00264E3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0,00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314C1E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8,5</w:t>
            </w: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Default="00264E36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4,5</w:t>
            </w: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Pr="0027540A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4,0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Default="00314C1E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8,5</w:t>
            </w:r>
          </w:p>
          <w:p w:rsidR="00314C1E" w:rsidRPr="0027540A" w:rsidRDefault="00314C1E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4E36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4,5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Default="00264E36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0,00</w:t>
            </w: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  <w:p w:rsidR="00314C1E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Pr="0027540A" w:rsidRDefault="00314C1E" w:rsidP="0031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Default="00090618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-</w:t>
            </w:r>
            <w:r w:rsidR="00264E36" w:rsidRPr="0027540A">
              <w:rPr>
                <w:rFonts w:ascii="Times New Roman" w:eastAsia="Times New Roman" w:hAnsi="Times New Roman" w:cs="Times New Roman"/>
                <w:lang w:val="uk-UA"/>
              </w:rPr>
              <w:t>6,0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090618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="00314C1E">
              <w:rPr>
                <w:rFonts w:ascii="Times New Roman" w:eastAsia="Times New Roman" w:hAnsi="Times New Roman" w:cs="Times New Roman"/>
                <w:lang w:val="uk-UA"/>
              </w:rPr>
              <w:t>3,0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090618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="00314C1E">
              <w:rPr>
                <w:rFonts w:ascii="Times New Roman" w:eastAsia="Times New Roman" w:hAnsi="Times New Roman" w:cs="Times New Roman"/>
                <w:lang w:val="uk-UA"/>
              </w:rPr>
              <w:t>3,0</w:t>
            </w:r>
          </w:p>
          <w:p w:rsidR="00314C1E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Default="00090618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-</w:t>
            </w:r>
            <w:r w:rsidR="00264E36" w:rsidRPr="0027540A">
              <w:rPr>
                <w:rFonts w:ascii="Times New Roman" w:eastAsia="Times New Roman" w:hAnsi="Times New Roman" w:cs="Times New Roman"/>
                <w:lang w:val="uk-UA"/>
              </w:rPr>
              <w:t>6,0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090618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="00314C1E">
              <w:rPr>
                <w:rFonts w:ascii="Times New Roman" w:eastAsia="Times New Roman" w:hAnsi="Times New Roman" w:cs="Times New Roman"/>
                <w:lang w:val="uk-UA"/>
              </w:rPr>
              <w:t>3,0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Pr="0027540A" w:rsidRDefault="00090618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="00314C1E">
              <w:rPr>
                <w:rFonts w:ascii="Times New Roman" w:eastAsia="Times New Roman" w:hAnsi="Times New Roman" w:cs="Times New Roman"/>
                <w:lang w:val="uk-UA"/>
              </w:rPr>
              <w:t>3,0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4E36" w:rsidRDefault="00264E3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0,00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  <w:p w:rsidR="00314C1E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14C1E" w:rsidRPr="0027540A" w:rsidRDefault="00314C1E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7540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27540A">
              <w:rPr>
                <w:rFonts w:ascii="Times New Roman" w:hAnsi="Times New Roman" w:cs="Times New Roman"/>
                <w:bCs/>
                <w:color w:val="000000"/>
                <w:lang w:val="uk-UA"/>
              </w:rPr>
              <w:t>Ефективності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5677E" w:rsidRPr="00F930DA" w:rsidRDefault="00314C1E" w:rsidP="00314C1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  <w:r w:rsidR="00264E36" w:rsidRPr="0027540A">
              <w:rPr>
                <w:rFonts w:ascii="Times New Roman" w:hAnsi="Times New Roman" w:cs="Times New Roman"/>
                <w:color w:val="000000"/>
                <w:lang w:val="uk-UA"/>
              </w:rPr>
              <w:t>итрат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и </w:t>
            </w:r>
            <w:r w:rsidR="00264E36" w:rsidRPr="0027540A">
              <w:rPr>
                <w:rFonts w:ascii="Times New Roman" w:hAnsi="Times New Roman" w:cs="Times New Roman"/>
                <w:color w:val="000000"/>
                <w:lang w:val="uk-UA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утримання</w:t>
            </w:r>
            <w:r w:rsidR="00264E36" w:rsidRPr="0027540A">
              <w:rPr>
                <w:rFonts w:ascii="Times New Roman" w:hAnsi="Times New Roman" w:cs="Times New Roman"/>
                <w:color w:val="000000"/>
                <w:lang w:val="uk-UA"/>
              </w:rPr>
              <w:t xml:space="preserve"> одн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ієї</w:t>
            </w:r>
            <w:r w:rsidR="00264E36" w:rsidRPr="0027540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D55CB7" w:rsidRPr="0027540A">
              <w:rPr>
                <w:rFonts w:ascii="Times New Roman" w:hAnsi="Times New Roman" w:cs="Times New Roman"/>
                <w:color w:val="000000"/>
                <w:lang w:val="uk-UA"/>
              </w:rPr>
              <w:t>штатн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ої</w:t>
            </w:r>
            <w:r w:rsidR="00D55CB7" w:rsidRPr="0027540A">
              <w:rPr>
                <w:rFonts w:ascii="Times New Roman" w:hAnsi="Times New Roman" w:cs="Times New Roman"/>
                <w:color w:val="000000"/>
                <w:lang w:val="uk-UA"/>
              </w:rPr>
              <w:t xml:space="preserve"> одиниц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27540A">
              <w:rPr>
                <w:color w:val="auto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Розрахунок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7E16" w:rsidRPr="0027540A" w:rsidRDefault="00B47E1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47E16" w:rsidRPr="0027540A" w:rsidRDefault="00090618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31034,48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3B1C75" w:rsidRPr="0027540A" w:rsidRDefault="00090618" w:rsidP="0009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31034,48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47E16" w:rsidRPr="0027540A" w:rsidRDefault="00B47E1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D16DE1" w:rsidRPr="0027540A" w:rsidRDefault="00090618" w:rsidP="0009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52941,18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D16DE1" w:rsidRPr="0027540A" w:rsidRDefault="00090618" w:rsidP="0009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52941,18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47E16" w:rsidRPr="0027540A" w:rsidRDefault="00B47E1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7540A" w:rsidRPr="0027540A" w:rsidRDefault="00090618" w:rsidP="000906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21906,70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090618" w:rsidRPr="0027540A" w:rsidRDefault="00090618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21906,70</w:t>
            </w:r>
          </w:p>
          <w:p w:rsidR="0027540A" w:rsidRPr="0027540A" w:rsidRDefault="0027540A" w:rsidP="000906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47E16" w:rsidRPr="0027540A" w:rsidRDefault="00B47E16" w:rsidP="00F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0,00</w:t>
            </w: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7540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27540A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Якості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4E36" w:rsidRPr="0027540A" w:rsidRDefault="00264E36" w:rsidP="00D55CB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C6688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7540A">
              <w:rPr>
                <w:rFonts w:ascii="Times New Roman" w:hAnsi="Times New Roman" w:cs="Times New Roman"/>
                <w:color w:val="000000"/>
                <w:lang w:val="uk-UA"/>
              </w:rPr>
              <w:t xml:space="preserve">Відсоток </w:t>
            </w:r>
            <w:r w:rsidR="00090618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</w:t>
            </w:r>
            <w:r w:rsidRPr="0027540A">
              <w:rPr>
                <w:rFonts w:ascii="Times New Roman" w:hAnsi="Times New Roman" w:cs="Times New Roman"/>
                <w:color w:val="000000"/>
                <w:lang w:val="uk-UA"/>
              </w:rPr>
              <w:t>виконання наданих законодавством повноважень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27540A">
              <w:rPr>
                <w:color w:val="auto"/>
                <w:sz w:val="22"/>
                <w:szCs w:val="22"/>
                <w:lang w:val="uk-UA"/>
              </w:rPr>
              <w:t>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264E36" w:rsidP="00C6688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Розрахунок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4E36" w:rsidRPr="0027540A" w:rsidRDefault="00D55CB7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264E36" w:rsidRPr="000A005F" w:rsidTr="009F36DC">
        <w:trPr>
          <w:trHeight w:val="1"/>
        </w:trPr>
        <w:tc>
          <w:tcPr>
            <w:tcW w:w="1526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64E36" w:rsidRPr="0027540A" w:rsidRDefault="00264E36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7540A">
              <w:rPr>
                <w:rFonts w:ascii="Times New Roman" w:eastAsia="Times New Roman" w:hAnsi="Times New Roman" w:cs="Times New Roman"/>
                <w:lang w:val="uk-UA"/>
              </w:rPr>
              <w:t>Пояснення щодо розбіжностей між виконаними результативними показниками і тими, що затверджені паспортом Програми:</w:t>
            </w:r>
          </w:p>
          <w:p w:rsidR="00A70F0C" w:rsidRPr="00F40DC5" w:rsidRDefault="00A70F0C" w:rsidP="00F40D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A70F0C" w:rsidRPr="002C3B94" w:rsidRDefault="00094041" w:rsidP="00326874">
            <w:pPr>
              <w:spacing w:after="0" w:line="240" w:lineRule="auto"/>
              <w:ind w:firstLine="7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тна чисельність працівників районної ради затверджена рішенням одинадцятої сесії Лубенської районної ради восьмого скликання "Про затвердження структури та чисельності виконавчого апарату Лубенської районної ради восьмого скликання в новій редакції" від 16.06.2022 року №180-ХІ в кількості 14,5 штатних одиниць. 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зв'язку з недостатнім виділенням кошторисних призначень для утримання районної ради у 2025 році  працювало 8,5 штатних одиниць. Станом на 01.01.2025 та 01.01.2026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існувало 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вакантних посад. Станом на 01.01.2025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01.01.2026 року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фактично зайняті 8,5 штатних одиниць, в результаті чого існує навантаження на працівників районної ради при виконанні їх посадових обов'язків та  повноважень.</w:t>
            </w:r>
          </w:p>
          <w:p w:rsidR="00094041" w:rsidRPr="002C3B94" w:rsidRDefault="00094041" w:rsidP="00326874">
            <w:pPr>
              <w:spacing w:after="0" w:line="240" w:lineRule="auto"/>
              <w:ind w:firstLine="7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межах Районної комплексної Програми розвитку місцевого самоврядування Лубенського району на 202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 здійснювалися видатки по КПКВК 0110150 «</w:t>
            </w:r>
            <w:r w:rsidRPr="002C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F40DC5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За 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F40DC5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40DC5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 дані видатки склали 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450000</w:t>
            </w:r>
            <w:r w:rsidR="00F40DC5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,00грн.</w:t>
            </w:r>
            <w:r w:rsidR="007456C7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Цю суму видатків складають 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міжбюджетні трансферти надані  Пирятинською та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Хорольською міськими територіальними громадами</w:t>
            </w:r>
            <w:r w:rsidR="00160431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40DC5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F40DC5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Чорнухинською селищн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F40DC5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ою.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Отримані асигнування дорівнюють касовим видаткам в повному розмірі.</w:t>
            </w:r>
          </w:p>
          <w:p w:rsidR="00094041" w:rsidRPr="002C3B94" w:rsidRDefault="00094041" w:rsidP="0032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При виконанні</w:t>
            </w:r>
            <w:r w:rsidR="00160431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даної 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бюджетної програми районна рада брала зобов'язання та здійснювала відповідні видатки тільки в межах планових показників затверджених на 202</w:t>
            </w:r>
            <w:r w:rsidR="00326874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рік, забезпечуючи цільове спрямування та використання бюджетних коштів. Фінансування видатків проводилося згідно напрямів використання бюджетних коштів, визначених Паспорт</w:t>
            </w:r>
            <w:r w:rsidR="00160431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бюджетн</w:t>
            </w:r>
            <w:r w:rsidR="00160431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 місцевого бюджету</w:t>
            </w:r>
            <w:r w:rsidR="00160431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573DC" w:rsidRPr="0027540A" w:rsidRDefault="00094041" w:rsidP="003268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Дана бюджетна програма є актуальною для подальшої реалізації, цілі та мета досягнуті</w:t>
            </w:r>
            <w:r w:rsidR="00160431"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2C3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Наслідком виконання даної бюджетної програми є забезпечення організаційної, інформаційно-аналітичної та матеріально-технічної діяльності районної ради.</w:t>
            </w: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573DC" w:rsidRPr="000D5F2D" w:rsidRDefault="00F573DC" w:rsidP="00C66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№ з/п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Показники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Одиниця виміру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Джерело інформації</w:t>
            </w:r>
          </w:p>
        </w:tc>
        <w:tc>
          <w:tcPr>
            <w:tcW w:w="31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Затверджено паспортом районної (бюджетної) Програми на звітний період, грн.</w:t>
            </w:r>
          </w:p>
        </w:tc>
        <w:tc>
          <w:tcPr>
            <w:tcW w:w="43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Виконано за звітний період, грн.</w:t>
            </w:r>
          </w:p>
        </w:tc>
        <w:tc>
          <w:tcPr>
            <w:tcW w:w="361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Відхилення</w:t>
            </w: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21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 тому числі: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усього</w:t>
            </w:r>
          </w:p>
          <w:p w:rsidR="00F573DC" w:rsidRPr="0027540A" w:rsidRDefault="00F573DC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 xml:space="preserve">загальний </w:t>
            </w:r>
            <w:r w:rsidRPr="000D5F2D">
              <w:rPr>
                <w:rFonts w:ascii="Times New Roman" w:eastAsia="Times New Roman" w:hAnsi="Times New Roman" w:cs="Times New Roman"/>
              </w:rPr>
              <w:lastRenderedPageBreak/>
              <w:t>фонд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lastRenderedPageBreak/>
              <w:t>у тому числі:</w:t>
            </w:r>
          </w:p>
        </w:tc>
        <w:tc>
          <w:tcPr>
            <w:tcW w:w="1541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20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27540A" w:rsidRDefault="00F573DC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>у тому числі:</w:t>
            </w: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 xml:space="preserve">загальний </w:t>
            </w:r>
            <w:r w:rsidRPr="000D5F2D">
              <w:rPr>
                <w:rFonts w:ascii="Times New Roman" w:eastAsia="Times New Roman" w:hAnsi="Times New Roman" w:cs="Times New Roman"/>
              </w:rPr>
              <w:lastRenderedPageBreak/>
              <w:t>фонд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E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lastRenderedPageBreak/>
              <w:t xml:space="preserve">спец. </w:t>
            </w:r>
            <w:r w:rsidRPr="000D5F2D">
              <w:rPr>
                <w:rFonts w:ascii="Times New Roman" w:eastAsia="Times New Roman" w:hAnsi="Times New Roman" w:cs="Times New Roman"/>
              </w:rPr>
              <w:br/>
            </w:r>
            <w:r w:rsidRPr="000D5F2D">
              <w:rPr>
                <w:rFonts w:ascii="Times New Roman" w:eastAsia="Times New Roman" w:hAnsi="Times New Roman" w:cs="Times New Roman"/>
              </w:rPr>
              <w:lastRenderedPageBreak/>
              <w:t>фонд</w:t>
            </w: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C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27540A" w:rsidRDefault="00F573DC" w:rsidP="00F5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Спец.</w:t>
            </w:r>
            <w:r w:rsidRPr="000D5F2D">
              <w:rPr>
                <w:rFonts w:ascii="Times New Roman" w:eastAsia="Times New Roman" w:hAnsi="Times New Roman" w:cs="Times New Roman"/>
              </w:rPr>
              <w:t xml:space="preserve"> </w:t>
            </w:r>
            <w:r w:rsidRPr="000D5F2D">
              <w:rPr>
                <w:rFonts w:ascii="Times New Roman" w:eastAsia="Times New Roman" w:hAnsi="Times New Roman" w:cs="Times New Roman"/>
              </w:rPr>
              <w:lastRenderedPageBreak/>
              <w:t>фонд</w:t>
            </w:r>
          </w:p>
        </w:tc>
        <w:tc>
          <w:tcPr>
            <w:tcW w:w="154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0D5F2D" w:rsidRDefault="00F573DC" w:rsidP="00C6688B">
            <w:pPr>
              <w:rPr>
                <w:rFonts w:ascii="Times New Roman" w:eastAsia="Calibri" w:hAnsi="Times New Roman" w:cs="Times New Roman"/>
              </w:rPr>
            </w:pPr>
            <w:r w:rsidRPr="000D5F2D">
              <w:rPr>
                <w:rFonts w:ascii="Times New Roman" w:eastAsia="Times New Roman" w:hAnsi="Times New Roman" w:cs="Times New Roman"/>
              </w:rPr>
              <w:t xml:space="preserve">загальний </w:t>
            </w:r>
            <w:r w:rsidRPr="000D5F2D">
              <w:rPr>
                <w:rFonts w:ascii="Times New Roman" w:eastAsia="Times New Roman" w:hAnsi="Times New Roman" w:cs="Times New Roman"/>
              </w:rPr>
              <w:lastRenderedPageBreak/>
              <w:t>фонд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0D5F2D" w:rsidRDefault="00F573DC" w:rsidP="00F573DC">
            <w:pPr>
              <w:spacing w:after="0" w:line="240" w:lineRule="auto"/>
              <w:ind w:left="-122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Спец.ф</w:t>
            </w:r>
            <w:r w:rsidRPr="000D5F2D">
              <w:rPr>
                <w:rFonts w:ascii="Times New Roman" w:eastAsia="Times New Roman" w:hAnsi="Times New Roman" w:cs="Times New Roman"/>
              </w:rPr>
              <w:t>онд</w:t>
            </w:r>
          </w:p>
        </w:tc>
      </w:tr>
      <w:tr w:rsidR="00F573DC" w:rsidRPr="000A005F" w:rsidTr="009F36DC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14731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73DC" w:rsidRDefault="002A511E" w:rsidP="00C6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Завдання 2</w:t>
            </w:r>
          </w:p>
          <w:p w:rsidR="00F573DC" w:rsidRPr="00823456" w:rsidRDefault="00F573DC" w:rsidP="00C5665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B07937">
              <w:rPr>
                <w:rFonts w:ascii="Times New Roman" w:eastAsia="Times New Roman" w:hAnsi="Times New Roman" w:cs="Times New Roman"/>
                <w:sz w:val="24"/>
                <w:lang w:val="uk-UA"/>
              </w:rPr>
              <w:t>Забезпеч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е</w:t>
            </w:r>
            <w:r w:rsidRPr="00B07937">
              <w:rPr>
                <w:rFonts w:ascii="Times New Roman" w:eastAsia="Times New Roman" w:hAnsi="Times New Roman" w:cs="Times New Roman"/>
                <w:sz w:val="24"/>
                <w:lang w:val="uk-UA"/>
              </w:rPr>
              <w:t>ння сплати</w:t>
            </w:r>
            <w:r w:rsidR="00C5665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щорічних </w:t>
            </w:r>
            <w:r w:rsidRPr="00B07937">
              <w:rPr>
                <w:rFonts w:ascii="Times New Roman" w:eastAsia="Times New Roman" w:hAnsi="Times New Roman" w:cs="Times New Roman"/>
                <w:sz w:val="24"/>
                <w:lang w:val="uk-UA"/>
              </w:rPr>
              <w:t>членських внесків до Української асоціації районних та обласних рад Всеукраїнської асоціації органів місцевого самоврядування та Асоціації "Полтавська обласна асоціація органів місцевого самоврядування".</w:t>
            </w: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2345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23456">
              <w:rPr>
                <w:rFonts w:ascii="Times New Roman" w:eastAsia="Times New Roman" w:hAnsi="Times New Roman" w:cs="Times New Roman"/>
                <w:lang w:val="uk-UA"/>
              </w:rPr>
              <w:t>Затрат: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23456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</w:t>
            </w:r>
            <w:r w:rsidR="00C56657">
              <w:rPr>
                <w:rFonts w:ascii="Times New Roman" w:eastAsia="Times New Roman" w:hAnsi="Times New Roman" w:cs="Times New Roman"/>
                <w:lang w:val="uk-UA"/>
              </w:rPr>
              <w:t>на проведення заходів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23456">
              <w:rPr>
                <w:color w:val="auto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C56657" w:rsidP="00C6688B">
            <w:pPr>
              <w:pStyle w:val="a3"/>
              <w:jc w:val="center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 xml:space="preserve">Кошторис, </w:t>
            </w:r>
            <w:r w:rsidR="00F573DC" w:rsidRPr="00823456">
              <w:rPr>
                <w:color w:val="auto"/>
                <w:sz w:val="22"/>
                <w:szCs w:val="22"/>
                <w:lang w:val="uk-UA"/>
              </w:rPr>
              <w:t>Довідка про зміни до кошторису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566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C56657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000,00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566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C56657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000,00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566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C56657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000,00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566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C56657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000,00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2345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23456">
              <w:rPr>
                <w:rFonts w:ascii="Times New Roman" w:eastAsia="Times New Roman" w:hAnsi="Times New Roman" w:cs="Times New Roman"/>
                <w:lang w:val="uk-UA"/>
              </w:rPr>
              <w:t>Продукту: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56657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 xml:space="preserve">Кількість </w:t>
            </w:r>
            <w:r w:rsidR="00C56657">
              <w:rPr>
                <w:rFonts w:ascii="Times New Roman" w:hAnsi="Times New Roman" w:cs="Times New Roman"/>
                <w:color w:val="000000"/>
                <w:lang w:val="uk-UA"/>
              </w:rPr>
              <w:t>проведених заходів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C56657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C56657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Внутрішній облік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2,00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2,00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2,00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2,00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2345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bCs/>
                <w:color w:val="000000"/>
                <w:lang w:val="uk-UA"/>
              </w:rPr>
              <w:t>Ефективності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56657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Середні витрат</w:t>
            </w:r>
            <w:r w:rsidR="00C56657"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 xml:space="preserve"> на </w:t>
            </w:r>
            <w:r w:rsidR="00C56657">
              <w:rPr>
                <w:rFonts w:ascii="Times New Roman" w:hAnsi="Times New Roman" w:cs="Times New Roman"/>
                <w:color w:val="000000"/>
                <w:lang w:val="uk-UA"/>
              </w:rPr>
              <w:t>проведення заходу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23456">
              <w:rPr>
                <w:color w:val="auto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823456">
              <w:rPr>
                <w:rFonts w:ascii="Times New Roman" w:eastAsia="Times New Roman" w:hAnsi="Times New Roman" w:cs="Times New Roman"/>
                <w:lang w:val="uk-UA"/>
              </w:rPr>
              <w:t>озрахунок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C56657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  <w:r w:rsidR="00F573DC" w:rsidRPr="00823456">
              <w:rPr>
                <w:rFonts w:ascii="Times New Roman" w:hAnsi="Times New Roman" w:cs="Times New Roman"/>
                <w:color w:val="000000"/>
                <w:lang w:val="uk-UA"/>
              </w:rPr>
              <w:t>00,00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C56657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  <w:r w:rsidR="00F573DC" w:rsidRPr="00823456">
              <w:rPr>
                <w:rFonts w:ascii="Times New Roman" w:hAnsi="Times New Roman" w:cs="Times New Roman"/>
                <w:color w:val="000000"/>
                <w:lang w:val="uk-UA"/>
              </w:rPr>
              <w:t>00,00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C56657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  <w:r w:rsidR="00F573DC" w:rsidRPr="00823456">
              <w:rPr>
                <w:rFonts w:ascii="Times New Roman" w:hAnsi="Times New Roman" w:cs="Times New Roman"/>
                <w:color w:val="000000"/>
                <w:lang w:val="uk-UA"/>
              </w:rPr>
              <w:t>00,00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C56657" w:rsidP="00C566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  <w:r w:rsidR="00F573DC" w:rsidRPr="00823456">
              <w:rPr>
                <w:rFonts w:ascii="Times New Roman" w:hAnsi="Times New Roman" w:cs="Times New Roman"/>
                <w:color w:val="000000"/>
                <w:lang w:val="uk-UA"/>
              </w:rPr>
              <w:t>00,00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2345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Якості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C56657" w:rsidRPr="00B07937" w:rsidTr="00314C1E">
        <w:trPr>
          <w:trHeight w:val="1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Pr="00823456" w:rsidRDefault="00F573DC" w:rsidP="00C6688B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C56657" w:rsidP="00C6688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7540A">
              <w:rPr>
                <w:rFonts w:ascii="Times New Roman" w:hAnsi="Times New Roman" w:cs="Times New Roman"/>
                <w:color w:val="000000"/>
                <w:lang w:val="uk-UA"/>
              </w:rPr>
              <w:t xml:space="preserve">Відсоток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</w:t>
            </w:r>
            <w:r w:rsidRPr="0027540A">
              <w:rPr>
                <w:rFonts w:ascii="Times New Roman" w:hAnsi="Times New Roman" w:cs="Times New Roman"/>
                <w:color w:val="000000"/>
                <w:lang w:val="uk-UA"/>
              </w:rPr>
              <w:t>виконання наданих законодавством повноважень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%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73DC" w:rsidRPr="00823456" w:rsidRDefault="00F573DC" w:rsidP="00C6688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823456">
              <w:rPr>
                <w:rFonts w:ascii="Times New Roman" w:eastAsia="Times New Roman" w:hAnsi="Times New Roman" w:cs="Times New Roman"/>
                <w:lang w:val="uk-UA"/>
              </w:rPr>
              <w:t>озрахунок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100,00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100,00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100,00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3456">
              <w:rPr>
                <w:rFonts w:ascii="Times New Roman" w:hAnsi="Times New Roman" w:cs="Times New Roman"/>
                <w:color w:val="000000"/>
                <w:lang w:val="uk-UA"/>
              </w:rPr>
              <w:t>100,00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73DC" w:rsidRPr="00823456" w:rsidRDefault="00F573DC" w:rsidP="00C6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23456">
              <w:rPr>
                <w:rFonts w:ascii="Times New Roman" w:eastAsia="Calibri" w:hAnsi="Times New Roman" w:cs="Times New Roman"/>
                <w:lang w:val="uk-UA"/>
              </w:rPr>
              <w:t>0,00</w:t>
            </w:r>
          </w:p>
        </w:tc>
      </w:tr>
      <w:tr w:rsidR="00F573DC" w:rsidRPr="00B07937" w:rsidTr="009F36DC">
        <w:trPr>
          <w:trHeight w:val="286"/>
        </w:trPr>
        <w:tc>
          <w:tcPr>
            <w:tcW w:w="1526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F573DC" w:rsidRDefault="00F573DC" w:rsidP="00F5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A546F">
              <w:rPr>
                <w:rFonts w:ascii="Times New Roman" w:eastAsia="Times New Roman" w:hAnsi="Times New Roman" w:cs="Times New Roman"/>
                <w:sz w:val="24"/>
              </w:rPr>
              <w:t>Пояснення щодо розбіжностей між виконаними результативними показниками і тими, що затверджені паспортом Програми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:</w:t>
            </w:r>
          </w:p>
          <w:p w:rsidR="00F573DC" w:rsidRDefault="00F573DC" w:rsidP="00F5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983948" w:rsidRPr="00983948" w:rsidRDefault="00F573DC" w:rsidP="0098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ab/>
            </w:r>
            <w:r w:rsidR="00983948" w:rsidRP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Лубенська районна рада є членом Асоціації "Полтавська обласна асоціація органів місцевого самоврядування" та Української асоціації районних та обласних рад</w:t>
            </w:r>
            <w:r w:rsidR="002C3B9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2C3B94" w:rsidRPr="00B07937">
              <w:rPr>
                <w:rFonts w:ascii="Times New Roman" w:eastAsia="Times New Roman" w:hAnsi="Times New Roman" w:cs="Times New Roman"/>
                <w:sz w:val="24"/>
                <w:lang w:val="uk-UA"/>
              </w:rPr>
              <w:t>Всеукраїнської асоціації органів місцевого самоврядування</w:t>
            </w:r>
            <w:r w:rsidR="00983948" w:rsidRP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:rsidR="00983948" w:rsidRPr="00983948" w:rsidRDefault="00983948" w:rsidP="0098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ab/>
              <w:t>Відповідно до Рішення Правління Української асоціації районних та обласних рад від 23.01.2025 №2 «Про сплату членських внесків на 2025 рік» Лубенська районна рада, як член УАРОР, сплатила щорічний членський внесок у 2025 році у фіксованій сумі 4,0 тис.грн.</w:t>
            </w:r>
          </w:p>
          <w:p w:rsidR="00983948" w:rsidRPr="00983948" w:rsidRDefault="00983948" w:rsidP="0098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ab/>
              <w:t>Відповідно до Рішення Правління Асоціації «Полтавська обласна асоціація органів місцевого самоврядування» від 17.10.2024 №30 «Про затвердження розміру та порядку сплати членських внесків Асоціації «ПОАОМС» Лубенська районна рада, як член Асоціації «Полтавської обласної асоціації органів місцевого самоврядування», сплатила щорічний членський внесок у 2025 році в сумі 10,0 тис.грн.</w:t>
            </w:r>
          </w:p>
          <w:p w:rsidR="00983948" w:rsidRPr="00983948" w:rsidRDefault="00983948" w:rsidP="0098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ab/>
              <w:t>Фінансування даних заходів здійснювалося в межах асигнувань передбачених районним бюджетом.</w:t>
            </w:r>
          </w:p>
          <w:p w:rsidR="00983948" w:rsidRDefault="00983948" w:rsidP="0098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ab/>
              <w:t xml:space="preserve">Організацію виконання забезпечував виконавчий апарат районної ради,  основними завданнями якого є здійснення організаційного, правового, інформаційного, аналітичного, матеріально-технічного забезпечення діяльності ради, її органів, депутатів, сприяння здійсненню взаємодії з територіальними громадами, органами та посадовими особами місцевого самоврядування. </w:t>
            </w:r>
          </w:p>
          <w:p w:rsidR="00F573DC" w:rsidRPr="0027540A" w:rsidRDefault="00F573DC" w:rsidP="00983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В межах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районно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ї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комплексно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ї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и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розвитку місцевого самоврядування Лубенського району на 202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і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 затвердженою рішенням 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двадцять другої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сесії Лубенської районної ради восьмого скликання №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283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ХХІ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>I від 1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груд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>ня 202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  (зі змінами)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ується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бюджетн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а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а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КПКВК 0117680 "Членські внески до асоціацій органів місцевого самоврядування"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Лубенська районна рада, як головний розпорядник коштів та відповідальний виконавець, здійснювала реєстрацію зобов'язань та проводила відповідні видатки тільки в межах планових показників які були затверджені на 202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рік, забезпечуючи цільове спрямування та використання бюджетних коштів. Фінансування проводилося згідно напрямів використання коштів визначених Паспортом бюджетної програми місцевого бюджету на 202</w:t>
            </w:r>
            <w:r w:rsidR="00983948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BA07D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Цілі та мета даної бюджетної програми досягнуті, усі поставлені задачі виконані.</w:t>
            </w:r>
          </w:p>
        </w:tc>
      </w:tr>
    </w:tbl>
    <w:p w:rsidR="00654E62" w:rsidRDefault="00654E62" w:rsidP="00343FF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07937">
        <w:rPr>
          <w:rFonts w:ascii="Times New Roman" w:eastAsia="Times New Roman" w:hAnsi="Times New Roman" w:cs="Times New Roman"/>
          <w:sz w:val="24"/>
          <w:lang w:val="uk-UA"/>
        </w:rPr>
        <w:lastRenderedPageBreak/>
        <w:br/>
      </w:r>
    </w:p>
    <w:p w:rsidR="00343FFD" w:rsidRPr="00285FBA" w:rsidRDefault="00343FFD" w:rsidP="00343FFD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lang w:val="uk-UA"/>
        </w:rPr>
      </w:pPr>
      <w:r w:rsidRPr="00B07937">
        <w:rPr>
          <w:rFonts w:ascii="Times New Roman" w:eastAsia="Times New Roman" w:hAnsi="Times New Roman" w:cs="Times New Roman"/>
          <w:sz w:val="24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голови районної ради                                                                                     Оксана ЦИМБАЛ</w:t>
      </w:r>
    </w:p>
    <w:p w:rsidR="00343FFD" w:rsidRPr="00343FFD" w:rsidRDefault="00343FFD" w:rsidP="00343FF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bookmarkStart w:id="0" w:name="_GoBack"/>
      <w:bookmarkEnd w:id="0"/>
    </w:p>
    <w:p w:rsidR="000E152C" w:rsidRDefault="000E15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E152C" w:rsidSect="00D7477E">
      <w:pgSz w:w="16838" w:h="11906" w:orient="landscape"/>
      <w:pgMar w:top="1134" w:right="395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D75" w:rsidRDefault="00077D75" w:rsidP="00F930DA">
      <w:pPr>
        <w:spacing w:after="0" w:line="240" w:lineRule="auto"/>
      </w:pPr>
      <w:r>
        <w:separator/>
      </w:r>
    </w:p>
  </w:endnote>
  <w:endnote w:type="continuationSeparator" w:id="0">
    <w:p w:rsidR="00077D75" w:rsidRDefault="00077D75" w:rsidP="00F9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D75" w:rsidRDefault="00077D75" w:rsidP="00F930DA">
      <w:pPr>
        <w:spacing w:after="0" w:line="240" w:lineRule="auto"/>
      </w:pPr>
      <w:r>
        <w:separator/>
      </w:r>
    </w:p>
  </w:footnote>
  <w:footnote w:type="continuationSeparator" w:id="0">
    <w:p w:rsidR="00077D75" w:rsidRDefault="00077D75" w:rsidP="00F9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B245E88"/>
    <w:lvl w:ilvl="0">
      <w:numFmt w:val="bullet"/>
      <w:lvlText w:val="*"/>
      <w:lvlJc w:val="left"/>
    </w:lvl>
  </w:abstractNum>
  <w:abstractNum w:abstractNumId="1" w15:restartNumberingAfterBreak="0">
    <w:nsid w:val="43FE299B"/>
    <w:multiLevelType w:val="multilevel"/>
    <w:tmpl w:val="C3DC6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C58A6"/>
    <w:multiLevelType w:val="hybridMultilevel"/>
    <w:tmpl w:val="4A366BF0"/>
    <w:lvl w:ilvl="0" w:tplc="50C02DA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0E27"/>
    <w:multiLevelType w:val="multilevel"/>
    <w:tmpl w:val="58004E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193F24"/>
    <w:multiLevelType w:val="multilevel"/>
    <w:tmpl w:val="803E2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565166"/>
    <w:multiLevelType w:val="multilevel"/>
    <w:tmpl w:val="F0D22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E62"/>
    <w:rsid w:val="00035148"/>
    <w:rsid w:val="00043421"/>
    <w:rsid w:val="000516C8"/>
    <w:rsid w:val="000677E9"/>
    <w:rsid w:val="00074347"/>
    <w:rsid w:val="00077D75"/>
    <w:rsid w:val="00083C59"/>
    <w:rsid w:val="00090618"/>
    <w:rsid w:val="00094041"/>
    <w:rsid w:val="000A005F"/>
    <w:rsid w:val="000A0264"/>
    <w:rsid w:val="000D5F2D"/>
    <w:rsid w:val="000E152C"/>
    <w:rsid w:val="0011269E"/>
    <w:rsid w:val="00122ED2"/>
    <w:rsid w:val="00143A6D"/>
    <w:rsid w:val="001470C8"/>
    <w:rsid w:val="00160431"/>
    <w:rsid w:val="00180324"/>
    <w:rsid w:val="001913A8"/>
    <w:rsid w:val="00197D40"/>
    <w:rsid w:val="001A104F"/>
    <w:rsid w:val="001D3CC2"/>
    <w:rsid w:val="001F2B09"/>
    <w:rsid w:val="00213809"/>
    <w:rsid w:val="002168D4"/>
    <w:rsid w:val="0024218C"/>
    <w:rsid w:val="00264E36"/>
    <w:rsid w:val="0027540A"/>
    <w:rsid w:val="00281B43"/>
    <w:rsid w:val="002A511E"/>
    <w:rsid w:val="002A5565"/>
    <w:rsid w:val="002A6BB8"/>
    <w:rsid w:val="002B2265"/>
    <w:rsid w:val="002B3F2C"/>
    <w:rsid w:val="002C3B94"/>
    <w:rsid w:val="002E48E9"/>
    <w:rsid w:val="002F7329"/>
    <w:rsid w:val="00314C1E"/>
    <w:rsid w:val="00320DC5"/>
    <w:rsid w:val="00321DA7"/>
    <w:rsid w:val="00326874"/>
    <w:rsid w:val="00343FFD"/>
    <w:rsid w:val="00345ECF"/>
    <w:rsid w:val="0037666F"/>
    <w:rsid w:val="00386E03"/>
    <w:rsid w:val="003B1C75"/>
    <w:rsid w:val="003E5D46"/>
    <w:rsid w:val="004224D9"/>
    <w:rsid w:val="004273D7"/>
    <w:rsid w:val="0045327D"/>
    <w:rsid w:val="00473BDC"/>
    <w:rsid w:val="00491BB1"/>
    <w:rsid w:val="004B05CE"/>
    <w:rsid w:val="005056CF"/>
    <w:rsid w:val="00546E9E"/>
    <w:rsid w:val="0056029B"/>
    <w:rsid w:val="005B31E5"/>
    <w:rsid w:val="005C1B39"/>
    <w:rsid w:val="005E52EA"/>
    <w:rsid w:val="005E65A9"/>
    <w:rsid w:val="006003B8"/>
    <w:rsid w:val="0060349D"/>
    <w:rsid w:val="0060565B"/>
    <w:rsid w:val="00610408"/>
    <w:rsid w:val="006421FB"/>
    <w:rsid w:val="00642BBE"/>
    <w:rsid w:val="0064760A"/>
    <w:rsid w:val="00654E62"/>
    <w:rsid w:val="007456C7"/>
    <w:rsid w:val="0075677E"/>
    <w:rsid w:val="007819D6"/>
    <w:rsid w:val="007904D0"/>
    <w:rsid w:val="007B42AB"/>
    <w:rsid w:val="00802DC0"/>
    <w:rsid w:val="00823456"/>
    <w:rsid w:val="00837F05"/>
    <w:rsid w:val="00871CA5"/>
    <w:rsid w:val="008910C0"/>
    <w:rsid w:val="008B2571"/>
    <w:rsid w:val="008D5CE3"/>
    <w:rsid w:val="008E2647"/>
    <w:rsid w:val="0094084A"/>
    <w:rsid w:val="00952D47"/>
    <w:rsid w:val="00965D64"/>
    <w:rsid w:val="00974A1D"/>
    <w:rsid w:val="00983948"/>
    <w:rsid w:val="009F36DC"/>
    <w:rsid w:val="00A50A31"/>
    <w:rsid w:val="00A70F0C"/>
    <w:rsid w:val="00A90C25"/>
    <w:rsid w:val="00A957D2"/>
    <w:rsid w:val="00AA5AFB"/>
    <w:rsid w:val="00AB2A06"/>
    <w:rsid w:val="00AB4959"/>
    <w:rsid w:val="00AB5136"/>
    <w:rsid w:val="00AB7A5B"/>
    <w:rsid w:val="00AD79E2"/>
    <w:rsid w:val="00B07937"/>
    <w:rsid w:val="00B22DB5"/>
    <w:rsid w:val="00B30987"/>
    <w:rsid w:val="00B47E16"/>
    <w:rsid w:val="00B61269"/>
    <w:rsid w:val="00BA07D5"/>
    <w:rsid w:val="00BB7785"/>
    <w:rsid w:val="00C311A5"/>
    <w:rsid w:val="00C56657"/>
    <w:rsid w:val="00C62A23"/>
    <w:rsid w:val="00C6688B"/>
    <w:rsid w:val="00C92C94"/>
    <w:rsid w:val="00C9482E"/>
    <w:rsid w:val="00CA01DE"/>
    <w:rsid w:val="00CE115D"/>
    <w:rsid w:val="00CE58F5"/>
    <w:rsid w:val="00CF3B75"/>
    <w:rsid w:val="00D16DE1"/>
    <w:rsid w:val="00D206CE"/>
    <w:rsid w:val="00D33D17"/>
    <w:rsid w:val="00D559EB"/>
    <w:rsid w:val="00D55CB7"/>
    <w:rsid w:val="00D565B3"/>
    <w:rsid w:val="00D6298C"/>
    <w:rsid w:val="00D63A9F"/>
    <w:rsid w:val="00D7477E"/>
    <w:rsid w:val="00DA4FF0"/>
    <w:rsid w:val="00DB23BB"/>
    <w:rsid w:val="00DD6976"/>
    <w:rsid w:val="00DE6E7E"/>
    <w:rsid w:val="00E3642B"/>
    <w:rsid w:val="00E41697"/>
    <w:rsid w:val="00E50E8A"/>
    <w:rsid w:val="00E97ECA"/>
    <w:rsid w:val="00EE3336"/>
    <w:rsid w:val="00EF023D"/>
    <w:rsid w:val="00EF4F0D"/>
    <w:rsid w:val="00EF58E1"/>
    <w:rsid w:val="00F30CF7"/>
    <w:rsid w:val="00F40158"/>
    <w:rsid w:val="00F40DC5"/>
    <w:rsid w:val="00F45422"/>
    <w:rsid w:val="00F45FB1"/>
    <w:rsid w:val="00F573DC"/>
    <w:rsid w:val="00F83D3D"/>
    <w:rsid w:val="00F930DA"/>
    <w:rsid w:val="00FA546F"/>
    <w:rsid w:val="00FB39E8"/>
    <w:rsid w:val="00FC0B9B"/>
    <w:rsid w:val="00FC7A1E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E4F7E-A8A0-4CA3-BDC2-A4E7F449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6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B3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ABL">
    <w:name w:val="Table (TABL)"/>
    <w:basedOn w:val="a"/>
    <w:rsid w:val="00D6298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a3">
    <w:name w:val="[Немає стилю абзацу]"/>
    <w:rsid w:val="00D6298C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styleId="a4">
    <w:name w:val="Normal (Web)"/>
    <w:basedOn w:val="a"/>
    <w:rsid w:val="0054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7477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D7477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CE58F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9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30D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30DA"/>
    <w:rPr>
      <w:rFonts w:eastAsiaTheme="minorEastAsia"/>
      <w:lang w:eastAsia="ru-RU"/>
    </w:rPr>
  </w:style>
  <w:style w:type="paragraph" w:styleId="aa">
    <w:name w:val="Title"/>
    <w:basedOn w:val="a"/>
    <w:next w:val="ab"/>
    <w:link w:val="ac"/>
    <w:qFormat/>
    <w:rsid w:val="000A005F"/>
    <w:pPr>
      <w:widowControl w:val="0"/>
      <w:suppressAutoHyphens/>
      <w:autoSpaceDE w:val="0"/>
      <w:spacing w:after="0" w:line="240" w:lineRule="auto"/>
      <w:jc w:val="center"/>
    </w:pPr>
    <w:rPr>
      <w:rFonts w:ascii="CG Times (W1)" w:eastAsia="Times New Roman" w:hAnsi="CG Times (W1)" w:cs="CG Times (W1)"/>
      <w:b/>
      <w:sz w:val="28"/>
      <w:szCs w:val="20"/>
      <w:lang w:val="uk-UA" w:eastAsia="ar-SA"/>
    </w:rPr>
  </w:style>
  <w:style w:type="character" w:customStyle="1" w:styleId="ac">
    <w:name w:val="Название Знак"/>
    <w:basedOn w:val="a0"/>
    <w:link w:val="aa"/>
    <w:rsid w:val="000A005F"/>
    <w:rPr>
      <w:rFonts w:ascii="CG Times (W1)" w:eastAsia="Times New Roman" w:hAnsi="CG Times (W1)" w:cs="CG Times (W1)"/>
      <w:b/>
      <w:sz w:val="28"/>
      <w:szCs w:val="20"/>
      <w:lang w:val="uk-UA" w:eastAsia="ar-SA"/>
    </w:rPr>
  </w:style>
  <w:style w:type="paragraph" w:styleId="ab">
    <w:name w:val="Subtitle"/>
    <w:basedOn w:val="a"/>
    <w:next w:val="a"/>
    <w:link w:val="ad"/>
    <w:uiPriority w:val="11"/>
    <w:qFormat/>
    <w:rsid w:val="000A005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0A005F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11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ASUS</cp:lastModifiedBy>
  <cp:revision>138</cp:revision>
  <dcterms:created xsi:type="dcterms:W3CDTF">2025-02-20T14:41:00Z</dcterms:created>
  <dcterms:modified xsi:type="dcterms:W3CDTF">2026-03-24T13:25:00Z</dcterms:modified>
</cp:coreProperties>
</file>