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A5" w:rsidRPr="008549A5" w:rsidRDefault="008549A5" w:rsidP="008549A5">
      <w:pPr>
        <w:pStyle w:val="a6"/>
        <w:ind w:firstLine="540"/>
        <w:rPr>
          <w:rFonts w:ascii="Times New Roman" w:hAnsi="Times New Roman" w:cs="Times New Roman"/>
          <w:lang w:val="uk-UA"/>
        </w:rPr>
      </w:pPr>
      <w:r w:rsidRPr="008549A5">
        <w:rPr>
          <w:rFonts w:ascii="Times New Roman" w:hAnsi="Times New Roman" w:cs="Times New Roman"/>
          <w:lang w:val="uk-UA"/>
        </w:rPr>
        <w:t xml:space="preserve">                        Додаток 1</w:t>
      </w:r>
    </w:p>
    <w:p w:rsidR="008549A5" w:rsidRPr="008549A5" w:rsidRDefault="008549A5" w:rsidP="008549A5">
      <w:pPr>
        <w:pStyle w:val="a6"/>
        <w:tabs>
          <w:tab w:val="center" w:pos="4680"/>
          <w:tab w:val="right" w:pos="9355"/>
        </w:tabs>
        <w:ind w:firstLine="720"/>
        <w:rPr>
          <w:rFonts w:ascii="Times New Roman" w:hAnsi="Times New Roman" w:cs="Times New Roman"/>
          <w:lang w:val="uk-UA"/>
        </w:rPr>
      </w:pPr>
      <w:r w:rsidRPr="008549A5">
        <w:rPr>
          <w:rFonts w:ascii="Times New Roman" w:hAnsi="Times New Roman" w:cs="Times New Roman"/>
          <w:lang w:val="uk-UA"/>
        </w:rPr>
        <w:t xml:space="preserve">                                                                до рішення тридцять третьої сесії</w:t>
      </w:r>
    </w:p>
    <w:p w:rsidR="008549A5" w:rsidRPr="008549A5" w:rsidRDefault="008549A5" w:rsidP="008549A5">
      <w:pPr>
        <w:pStyle w:val="a6"/>
        <w:tabs>
          <w:tab w:val="left" w:pos="4635"/>
          <w:tab w:val="left" w:pos="5505"/>
          <w:tab w:val="right" w:pos="9355"/>
        </w:tabs>
        <w:ind w:firstLine="720"/>
        <w:rPr>
          <w:rFonts w:ascii="Times New Roman" w:hAnsi="Times New Roman" w:cs="Times New Roman"/>
          <w:lang w:val="uk-UA"/>
        </w:rPr>
      </w:pPr>
      <w:r w:rsidRPr="008549A5">
        <w:rPr>
          <w:rFonts w:ascii="Times New Roman" w:hAnsi="Times New Roman" w:cs="Times New Roman"/>
          <w:lang w:val="uk-UA"/>
        </w:rPr>
        <w:t xml:space="preserve">                                                                 районної ради сьомого скликання</w:t>
      </w:r>
    </w:p>
    <w:p w:rsidR="008549A5" w:rsidRPr="008549A5" w:rsidRDefault="008549A5" w:rsidP="008549A5">
      <w:pPr>
        <w:pStyle w:val="a6"/>
        <w:tabs>
          <w:tab w:val="left" w:pos="4500"/>
        </w:tabs>
        <w:ind w:firstLine="720"/>
        <w:rPr>
          <w:rFonts w:ascii="Times New Roman" w:hAnsi="Times New Roman" w:cs="Times New Roman"/>
          <w:lang w:val="uk-UA"/>
        </w:rPr>
      </w:pPr>
      <w:r w:rsidRPr="008549A5">
        <w:rPr>
          <w:rFonts w:ascii="Times New Roman" w:hAnsi="Times New Roman" w:cs="Times New Roman"/>
          <w:lang w:val="uk-UA"/>
        </w:rPr>
        <w:t xml:space="preserve">                                                      від 27 листопада 2018 року</w:t>
      </w:r>
    </w:p>
    <w:p w:rsidR="008549A5" w:rsidRPr="008549A5" w:rsidRDefault="008549A5" w:rsidP="008549A5">
      <w:pPr>
        <w:shd w:val="clear" w:color="auto" w:fill="FFFFFF"/>
        <w:ind w:left="4973"/>
        <w:jc w:val="center"/>
        <w:rPr>
          <w:rFonts w:ascii="Times New Roman" w:hAnsi="Times New Roman" w:cs="Times New Roman"/>
          <w:spacing w:val="-3"/>
          <w:lang w:val="uk-UA"/>
        </w:rPr>
      </w:pPr>
    </w:p>
    <w:p w:rsidR="008549A5" w:rsidRPr="008549A5" w:rsidRDefault="008549A5" w:rsidP="008549A5">
      <w:pPr>
        <w:shd w:val="clear" w:color="auto" w:fill="FFFFFF"/>
        <w:jc w:val="center"/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</w:pPr>
      <w:r w:rsidRPr="008549A5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>Нова редакція розділу 1</w:t>
      </w:r>
    </w:p>
    <w:p w:rsidR="008549A5" w:rsidRPr="008549A5" w:rsidRDefault="008549A5" w:rsidP="008549A5">
      <w:pPr>
        <w:shd w:val="clear" w:color="auto" w:fill="FFFFFF"/>
        <w:jc w:val="center"/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</w:pPr>
      <w:r w:rsidRPr="008549A5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>«ЗАГАЛЬНА  ХАРАКТЕРИСТИКА  ПРОГРАМИ»</w:t>
      </w:r>
    </w:p>
    <w:p w:rsidR="008549A5" w:rsidRPr="008549A5" w:rsidRDefault="008549A5" w:rsidP="008549A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9A5">
        <w:rPr>
          <w:rFonts w:ascii="Times New Roman" w:hAnsi="Times New Roman" w:cs="Times New Roman"/>
          <w:b/>
          <w:sz w:val="28"/>
          <w:szCs w:val="28"/>
          <w:lang w:val="uk-UA"/>
        </w:rPr>
        <w:t>районної  комплексної Програми розвитку місцевого самоврядування у Лубенському районі на 2018  рік, затвердженої рішенням двадцять восьмої сесії районної ради сьомого скликання від 11 квітня 2018 року</w:t>
      </w:r>
    </w:p>
    <w:p w:rsidR="008549A5" w:rsidRPr="008549A5" w:rsidRDefault="008549A5" w:rsidP="008549A5">
      <w:pPr>
        <w:shd w:val="clear" w:color="auto" w:fill="FFFFFF"/>
        <w:jc w:val="center"/>
        <w:rPr>
          <w:rFonts w:ascii="Times New Roman" w:hAnsi="Times New Roman" w:cs="Times New Roman"/>
          <w:b/>
          <w:spacing w:val="-3"/>
          <w:lang w:val="uk-UA"/>
        </w:rPr>
      </w:pPr>
    </w:p>
    <w:tbl>
      <w:tblPr>
        <w:tblStyle w:val="a4"/>
        <w:tblW w:w="0" w:type="auto"/>
        <w:tblLook w:val="01E0"/>
      </w:tblPr>
      <w:tblGrid>
        <w:gridCol w:w="4140"/>
        <w:gridCol w:w="4783"/>
      </w:tblGrid>
      <w:tr w:rsidR="008549A5" w:rsidRPr="008549A5" w:rsidTr="00DB7F8E">
        <w:tc>
          <w:tcPr>
            <w:tcW w:w="4140" w:type="dxa"/>
          </w:tcPr>
          <w:p w:rsidR="008549A5" w:rsidRPr="008549A5" w:rsidRDefault="008549A5" w:rsidP="00DB7F8E">
            <w:pPr>
              <w:spacing w:line="360" w:lineRule="auto"/>
              <w:jc w:val="center"/>
              <w:rPr>
                <w:spacing w:val="-3"/>
                <w:sz w:val="28"/>
                <w:szCs w:val="28"/>
                <w:lang w:val="uk-UA"/>
              </w:rPr>
            </w:pPr>
          </w:p>
          <w:p w:rsidR="008549A5" w:rsidRPr="008549A5" w:rsidRDefault="008549A5" w:rsidP="00DB7F8E">
            <w:pPr>
              <w:spacing w:line="360" w:lineRule="auto"/>
              <w:jc w:val="center"/>
              <w:rPr>
                <w:spacing w:val="-3"/>
                <w:sz w:val="28"/>
                <w:szCs w:val="28"/>
                <w:lang w:val="uk-UA"/>
              </w:rPr>
            </w:pPr>
            <w:r w:rsidRPr="008549A5">
              <w:rPr>
                <w:spacing w:val="-3"/>
                <w:sz w:val="28"/>
                <w:szCs w:val="28"/>
                <w:lang w:val="uk-UA"/>
              </w:rPr>
              <w:t>Ініціатор розроблення Програми</w:t>
            </w:r>
          </w:p>
          <w:p w:rsidR="008549A5" w:rsidRPr="008549A5" w:rsidRDefault="008549A5" w:rsidP="00DB7F8E">
            <w:pPr>
              <w:spacing w:line="360" w:lineRule="auto"/>
              <w:jc w:val="center"/>
              <w:rPr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</w:tcPr>
          <w:p w:rsidR="008549A5" w:rsidRPr="008549A5" w:rsidRDefault="008549A5" w:rsidP="00DB7F8E">
            <w:pPr>
              <w:spacing w:line="360" w:lineRule="auto"/>
              <w:jc w:val="center"/>
              <w:rPr>
                <w:spacing w:val="-3"/>
                <w:sz w:val="28"/>
                <w:szCs w:val="28"/>
                <w:lang w:val="uk-UA"/>
              </w:rPr>
            </w:pPr>
          </w:p>
          <w:p w:rsidR="008549A5" w:rsidRPr="008549A5" w:rsidRDefault="008549A5" w:rsidP="00DB7F8E">
            <w:pPr>
              <w:spacing w:line="360" w:lineRule="auto"/>
              <w:jc w:val="center"/>
              <w:rPr>
                <w:spacing w:val="-3"/>
                <w:sz w:val="28"/>
                <w:szCs w:val="28"/>
                <w:lang w:val="uk-UA"/>
              </w:rPr>
            </w:pPr>
            <w:r w:rsidRPr="008549A5">
              <w:rPr>
                <w:spacing w:val="-3"/>
                <w:sz w:val="28"/>
                <w:szCs w:val="28"/>
                <w:lang w:val="uk-UA"/>
              </w:rPr>
              <w:t>Лубенська районна рада</w:t>
            </w:r>
          </w:p>
        </w:tc>
      </w:tr>
      <w:tr w:rsidR="008549A5" w:rsidRPr="008549A5" w:rsidTr="00DB7F8E">
        <w:tc>
          <w:tcPr>
            <w:tcW w:w="4140" w:type="dxa"/>
          </w:tcPr>
          <w:p w:rsidR="008549A5" w:rsidRPr="008549A5" w:rsidRDefault="008549A5" w:rsidP="00DB7F8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8549A5">
              <w:rPr>
                <w:spacing w:val="-3"/>
                <w:sz w:val="28"/>
                <w:szCs w:val="28"/>
                <w:lang w:val="uk-UA"/>
              </w:rPr>
              <w:t>Підстава для розроблення Програми</w:t>
            </w:r>
          </w:p>
        </w:tc>
        <w:tc>
          <w:tcPr>
            <w:tcW w:w="4783" w:type="dxa"/>
          </w:tcPr>
          <w:p w:rsidR="008549A5" w:rsidRPr="008549A5" w:rsidRDefault="008549A5" w:rsidP="00DB7F8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8549A5">
              <w:rPr>
                <w:spacing w:val="-3"/>
                <w:sz w:val="28"/>
                <w:szCs w:val="28"/>
                <w:lang w:val="uk-UA"/>
              </w:rPr>
              <w:t xml:space="preserve">Закон України «Про місцеве самоврядування в Україні», Закон України «Про асоціації органів місцевого самоврядування», Указ Президента України «Про державну підтримку розвитку місцевого самоврядування в Україні»; рішення районної ради від 14.14.200 р. «Про заснування щорічної премії імені Василя Симоненка», рішення районної ради від 04.05.2017 р. «Про присвоєння звання Почесний громадянин </w:t>
            </w:r>
            <w:proofErr w:type="spellStart"/>
            <w:r w:rsidRPr="008549A5">
              <w:rPr>
                <w:spacing w:val="-3"/>
                <w:sz w:val="28"/>
                <w:szCs w:val="28"/>
                <w:lang w:val="uk-UA"/>
              </w:rPr>
              <w:t>Лубенщини</w:t>
            </w:r>
            <w:proofErr w:type="spellEnd"/>
            <w:r w:rsidRPr="008549A5">
              <w:rPr>
                <w:spacing w:val="-3"/>
                <w:sz w:val="28"/>
                <w:szCs w:val="28"/>
                <w:lang w:val="uk-UA"/>
              </w:rPr>
              <w:t xml:space="preserve">»,  рішення районної ради від 20.07.2017 р. «Про присвоєння звання Почесний громадянин </w:t>
            </w:r>
            <w:proofErr w:type="spellStart"/>
            <w:r w:rsidRPr="008549A5">
              <w:rPr>
                <w:spacing w:val="-3"/>
                <w:sz w:val="28"/>
                <w:szCs w:val="28"/>
                <w:lang w:val="uk-UA"/>
              </w:rPr>
              <w:t>Лубенщини</w:t>
            </w:r>
            <w:proofErr w:type="spellEnd"/>
            <w:r w:rsidRPr="008549A5">
              <w:rPr>
                <w:spacing w:val="-3"/>
                <w:sz w:val="28"/>
                <w:szCs w:val="28"/>
                <w:lang w:val="uk-UA"/>
              </w:rPr>
              <w:t xml:space="preserve">».  </w:t>
            </w:r>
          </w:p>
        </w:tc>
      </w:tr>
      <w:tr w:rsidR="008549A5" w:rsidRPr="008549A5" w:rsidTr="00DB7F8E">
        <w:trPr>
          <w:trHeight w:val="1120"/>
        </w:trPr>
        <w:tc>
          <w:tcPr>
            <w:tcW w:w="4140" w:type="dxa"/>
          </w:tcPr>
          <w:p w:rsidR="008549A5" w:rsidRPr="008549A5" w:rsidRDefault="008549A5" w:rsidP="00DB7F8E">
            <w:pPr>
              <w:spacing w:line="360" w:lineRule="auto"/>
              <w:jc w:val="center"/>
              <w:rPr>
                <w:spacing w:val="-3"/>
                <w:sz w:val="28"/>
                <w:szCs w:val="28"/>
                <w:lang w:val="uk-UA"/>
              </w:rPr>
            </w:pPr>
          </w:p>
          <w:p w:rsidR="008549A5" w:rsidRPr="008549A5" w:rsidRDefault="008549A5" w:rsidP="00DB7F8E">
            <w:pPr>
              <w:spacing w:line="360" w:lineRule="auto"/>
              <w:rPr>
                <w:spacing w:val="-3"/>
                <w:sz w:val="28"/>
                <w:szCs w:val="28"/>
                <w:lang w:val="uk-UA"/>
              </w:rPr>
            </w:pPr>
            <w:r w:rsidRPr="008549A5">
              <w:rPr>
                <w:spacing w:val="-3"/>
                <w:sz w:val="28"/>
                <w:szCs w:val="28"/>
                <w:lang w:val="uk-UA"/>
              </w:rPr>
              <w:t xml:space="preserve">        Розробник Програми</w:t>
            </w:r>
          </w:p>
          <w:p w:rsidR="008549A5" w:rsidRPr="008549A5" w:rsidRDefault="008549A5" w:rsidP="00DB7F8E">
            <w:pPr>
              <w:spacing w:line="360" w:lineRule="auto"/>
              <w:jc w:val="center"/>
              <w:rPr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</w:tcPr>
          <w:p w:rsidR="008549A5" w:rsidRPr="008549A5" w:rsidRDefault="008549A5" w:rsidP="00DB7F8E">
            <w:pPr>
              <w:spacing w:line="360" w:lineRule="auto"/>
              <w:jc w:val="center"/>
              <w:rPr>
                <w:spacing w:val="-3"/>
                <w:sz w:val="28"/>
                <w:szCs w:val="28"/>
                <w:lang w:val="uk-UA"/>
              </w:rPr>
            </w:pPr>
          </w:p>
          <w:p w:rsidR="008549A5" w:rsidRPr="008549A5" w:rsidRDefault="008549A5" w:rsidP="00DB7F8E">
            <w:pPr>
              <w:spacing w:line="360" w:lineRule="auto"/>
              <w:rPr>
                <w:spacing w:val="-3"/>
                <w:sz w:val="28"/>
                <w:szCs w:val="28"/>
                <w:lang w:val="uk-UA"/>
              </w:rPr>
            </w:pPr>
            <w:r w:rsidRPr="008549A5">
              <w:rPr>
                <w:spacing w:val="-3"/>
                <w:sz w:val="28"/>
                <w:szCs w:val="28"/>
                <w:lang w:val="uk-UA"/>
              </w:rPr>
              <w:t xml:space="preserve">       Лубенська районна рада</w:t>
            </w:r>
          </w:p>
        </w:tc>
      </w:tr>
      <w:tr w:rsidR="008549A5" w:rsidRPr="008549A5" w:rsidTr="00DB7F8E">
        <w:tc>
          <w:tcPr>
            <w:tcW w:w="4140" w:type="dxa"/>
          </w:tcPr>
          <w:p w:rsidR="008549A5" w:rsidRPr="008549A5" w:rsidRDefault="008549A5" w:rsidP="00DB7F8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8549A5">
              <w:rPr>
                <w:spacing w:val="-3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783" w:type="dxa"/>
          </w:tcPr>
          <w:p w:rsidR="008549A5" w:rsidRPr="008549A5" w:rsidRDefault="008549A5" w:rsidP="00DB7F8E">
            <w:pPr>
              <w:spacing w:line="360" w:lineRule="auto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8549A5">
              <w:rPr>
                <w:spacing w:val="-3"/>
                <w:sz w:val="28"/>
                <w:szCs w:val="28"/>
                <w:lang w:val="uk-UA"/>
              </w:rPr>
              <w:t xml:space="preserve">       Лубенська районна рада</w:t>
            </w:r>
          </w:p>
        </w:tc>
      </w:tr>
      <w:tr w:rsidR="008549A5" w:rsidRPr="008549A5" w:rsidTr="00DB7F8E">
        <w:tc>
          <w:tcPr>
            <w:tcW w:w="4140" w:type="dxa"/>
          </w:tcPr>
          <w:p w:rsidR="008549A5" w:rsidRPr="008549A5" w:rsidRDefault="008549A5" w:rsidP="00DB7F8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8549A5">
              <w:rPr>
                <w:spacing w:val="-3"/>
                <w:sz w:val="28"/>
                <w:szCs w:val="28"/>
                <w:lang w:val="uk-UA"/>
              </w:rPr>
              <w:t>Виконавці  Програми</w:t>
            </w:r>
          </w:p>
        </w:tc>
        <w:tc>
          <w:tcPr>
            <w:tcW w:w="4783" w:type="dxa"/>
          </w:tcPr>
          <w:p w:rsidR="008549A5" w:rsidRPr="008549A5" w:rsidRDefault="008549A5" w:rsidP="00DB7F8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8549A5">
              <w:rPr>
                <w:spacing w:val="-3"/>
                <w:sz w:val="28"/>
                <w:szCs w:val="28"/>
                <w:lang w:val="uk-UA"/>
              </w:rPr>
              <w:t xml:space="preserve">    Виконавчі комітети </w:t>
            </w:r>
            <w:proofErr w:type="spellStart"/>
            <w:r w:rsidRPr="008549A5">
              <w:rPr>
                <w:spacing w:val="-3"/>
                <w:sz w:val="28"/>
                <w:szCs w:val="28"/>
                <w:lang w:val="uk-UA"/>
              </w:rPr>
              <w:t>Березотіцької</w:t>
            </w:r>
            <w:proofErr w:type="spellEnd"/>
            <w:r w:rsidRPr="008549A5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549A5">
              <w:rPr>
                <w:spacing w:val="-3"/>
                <w:sz w:val="28"/>
                <w:szCs w:val="28"/>
                <w:lang w:val="uk-UA"/>
              </w:rPr>
              <w:t>Бієвецької</w:t>
            </w:r>
            <w:proofErr w:type="spellEnd"/>
            <w:r w:rsidRPr="008549A5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549A5">
              <w:rPr>
                <w:spacing w:val="-3"/>
                <w:sz w:val="28"/>
                <w:szCs w:val="28"/>
                <w:lang w:val="uk-UA"/>
              </w:rPr>
              <w:t>Вовчицької</w:t>
            </w:r>
            <w:proofErr w:type="spellEnd"/>
            <w:r w:rsidRPr="008549A5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549A5">
              <w:rPr>
                <w:spacing w:val="-3"/>
                <w:sz w:val="28"/>
                <w:szCs w:val="28"/>
                <w:lang w:val="uk-UA"/>
              </w:rPr>
              <w:t>Духівської</w:t>
            </w:r>
            <w:proofErr w:type="spellEnd"/>
            <w:r w:rsidRPr="008549A5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549A5">
              <w:rPr>
                <w:spacing w:val="-3"/>
                <w:sz w:val="28"/>
                <w:szCs w:val="28"/>
                <w:lang w:val="uk-UA"/>
              </w:rPr>
              <w:t>Жданівської</w:t>
            </w:r>
            <w:proofErr w:type="spellEnd"/>
            <w:r w:rsidRPr="008549A5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549A5">
              <w:rPr>
                <w:spacing w:val="-3"/>
                <w:sz w:val="28"/>
                <w:szCs w:val="28"/>
                <w:lang w:val="uk-UA"/>
              </w:rPr>
              <w:t>Ісковецької</w:t>
            </w:r>
            <w:proofErr w:type="spellEnd"/>
            <w:r w:rsidRPr="008549A5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549A5">
              <w:rPr>
                <w:spacing w:val="-3"/>
                <w:sz w:val="28"/>
                <w:szCs w:val="28"/>
                <w:lang w:val="uk-UA"/>
              </w:rPr>
              <w:lastRenderedPageBreak/>
              <w:t>Калайдинцівської</w:t>
            </w:r>
            <w:proofErr w:type="spellEnd"/>
            <w:r w:rsidRPr="008549A5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549A5">
              <w:rPr>
                <w:spacing w:val="-3"/>
                <w:sz w:val="28"/>
                <w:szCs w:val="28"/>
                <w:lang w:val="uk-UA"/>
              </w:rPr>
              <w:t>Новооріхівської</w:t>
            </w:r>
            <w:proofErr w:type="spellEnd"/>
            <w:r w:rsidRPr="008549A5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549A5">
              <w:rPr>
                <w:spacing w:val="-3"/>
                <w:sz w:val="28"/>
                <w:szCs w:val="28"/>
                <w:lang w:val="uk-UA"/>
              </w:rPr>
              <w:t>Окіпської</w:t>
            </w:r>
            <w:proofErr w:type="spellEnd"/>
            <w:r w:rsidRPr="008549A5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549A5">
              <w:rPr>
                <w:spacing w:val="-3"/>
                <w:sz w:val="28"/>
                <w:szCs w:val="28"/>
                <w:lang w:val="uk-UA"/>
              </w:rPr>
              <w:t>Остапівської</w:t>
            </w:r>
            <w:proofErr w:type="spellEnd"/>
            <w:r w:rsidRPr="008549A5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549A5">
              <w:rPr>
                <w:spacing w:val="-3"/>
                <w:sz w:val="28"/>
                <w:szCs w:val="28"/>
                <w:lang w:val="uk-UA"/>
              </w:rPr>
              <w:t>Снітинської</w:t>
            </w:r>
            <w:proofErr w:type="spellEnd"/>
            <w:r w:rsidRPr="008549A5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549A5">
              <w:rPr>
                <w:spacing w:val="-3"/>
                <w:sz w:val="28"/>
                <w:szCs w:val="28"/>
                <w:lang w:val="uk-UA"/>
              </w:rPr>
              <w:t>Тарандинцівської</w:t>
            </w:r>
            <w:proofErr w:type="spellEnd"/>
            <w:r w:rsidRPr="008549A5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549A5">
              <w:rPr>
                <w:spacing w:val="-3"/>
                <w:sz w:val="28"/>
                <w:szCs w:val="28"/>
                <w:lang w:val="uk-UA"/>
              </w:rPr>
              <w:t>Тишківської</w:t>
            </w:r>
            <w:proofErr w:type="spellEnd"/>
            <w:r w:rsidRPr="008549A5">
              <w:rPr>
                <w:spacing w:val="-3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549A5">
              <w:rPr>
                <w:spacing w:val="-3"/>
                <w:sz w:val="28"/>
                <w:szCs w:val="28"/>
                <w:lang w:val="uk-UA"/>
              </w:rPr>
              <w:t>Хорошківської</w:t>
            </w:r>
            <w:proofErr w:type="spellEnd"/>
            <w:r w:rsidRPr="008549A5">
              <w:rPr>
                <w:spacing w:val="-3"/>
                <w:sz w:val="28"/>
                <w:szCs w:val="28"/>
                <w:lang w:val="uk-UA"/>
              </w:rPr>
              <w:t xml:space="preserve"> сільських рад</w:t>
            </w:r>
          </w:p>
        </w:tc>
      </w:tr>
      <w:tr w:rsidR="008549A5" w:rsidRPr="008549A5" w:rsidTr="00DB7F8E">
        <w:tc>
          <w:tcPr>
            <w:tcW w:w="4140" w:type="dxa"/>
          </w:tcPr>
          <w:p w:rsidR="008549A5" w:rsidRPr="008549A5" w:rsidRDefault="008549A5" w:rsidP="00DB7F8E">
            <w:pPr>
              <w:spacing w:line="360" w:lineRule="auto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8549A5">
              <w:rPr>
                <w:spacing w:val="-3"/>
                <w:sz w:val="28"/>
                <w:szCs w:val="28"/>
                <w:lang w:val="uk-UA"/>
              </w:rPr>
              <w:lastRenderedPageBreak/>
              <w:t>Термін реалізації Програми</w:t>
            </w:r>
          </w:p>
        </w:tc>
        <w:tc>
          <w:tcPr>
            <w:tcW w:w="4783" w:type="dxa"/>
          </w:tcPr>
          <w:p w:rsidR="008549A5" w:rsidRPr="008549A5" w:rsidRDefault="008549A5" w:rsidP="00DB7F8E">
            <w:pPr>
              <w:spacing w:line="360" w:lineRule="auto"/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8549A5">
              <w:rPr>
                <w:spacing w:val="-3"/>
                <w:sz w:val="28"/>
                <w:szCs w:val="28"/>
                <w:lang w:val="uk-UA"/>
              </w:rPr>
              <w:t xml:space="preserve">                  2018  рік</w:t>
            </w:r>
          </w:p>
        </w:tc>
      </w:tr>
      <w:tr w:rsidR="008549A5" w:rsidRPr="008549A5" w:rsidTr="00DB7F8E">
        <w:tc>
          <w:tcPr>
            <w:tcW w:w="4140" w:type="dxa"/>
          </w:tcPr>
          <w:p w:rsidR="008549A5" w:rsidRPr="008549A5" w:rsidRDefault="008549A5" w:rsidP="00DB7F8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8549A5">
              <w:rPr>
                <w:spacing w:val="-3"/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783" w:type="dxa"/>
          </w:tcPr>
          <w:p w:rsidR="008549A5" w:rsidRPr="008549A5" w:rsidRDefault="008549A5" w:rsidP="00DB7F8E">
            <w:pPr>
              <w:rPr>
                <w:spacing w:val="-3"/>
                <w:sz w:val="28"/>
                <w:szCs w:val="28"/>
                <w:lang w:val="uk-UA"/>
              </w:rPr>
            </w:pPr>
            <w:r w:rsidRPr="008549A5">
              <w:rPr>
                <w:spacing w:val="-3"/>
                <w:sz w:val="28"/>
                <w:szCs w:val="28"/>
                <w:lang w:val="uk-UA"/>
              </w:rPr>
              <w:t xml:space="preserve">    </w:t>
            </w:r>
          </w:p>
          <w:p w:rsidR="008549A5" w:rsidRPr="008549A5" w:rsidRDefault="008549A5" w:rsidP="00DB7F8E">
            <w:pPr>
              <w:rPr>
                <w:spacing w:val="-3"/>
                <w:sz w:val="28"/>
                <w:szCs w:val="28"/>
                <w:lang w:val="uk-UA"/>
              </w:rPr>
            </w:pPr>
            <w:r w:rsidRPr="008549A5">
              <w:rPr>
                <w:spacing w:val="-3"/>
                <w:sz w:val="28"/>
                <w:szCs w:val="28"/>
                <w:lang w:val="uk-UA"/>
              </w:rPr>
              <w:t xml:space="preserve">  Районний бюджет, сільські бюджети  </w:t>
            </w:r>
          </w:p>
          <w:p w:rsidR="008549A5" w:rsidRPr="008549A5" w:rsidRDefault="008549A5" w:rsidP="00DB7F8E">
            <w:pPr>
              <w:spacing w:line="360" w:lineRule="auto"/>
              <w:rPr>
                <w:spacing w:val="-3"/>
                <w:sz w:val="28"/>
                <w:szCs w:val="28"/>
                <w:lang w:val="uk-UA"/>
              </w:rPr>
            </w:pPr>
            <w:r w:rsidRPr="008549A5">
              <w:rPr>
                <w:spacing w:val="-3"/>
                <w:sz w:val="28"/>
                <w:szCs w:val="28"/>
                <w:lang w:val="uk-UA"/>
              </w:rPr>
              <w:t xml:space="preserve">          </w:t>
            </w:r>
          </w:p>
        </w:tc>
      </w:tr>
      <w:tr w:rsidR="008549A5" w:rsidRPr="008549A5" w:rsidTr="00DB7F8E">
        <w:tc>
          <w:tcPr>
            <w:tcW w:w="4140" w:type="dxa"/>
          </w:tcPr>
          <w:p w:rsidR="008549A5" w:rsidRPr="008549A5" w:rsidRDefault="008549A5" w:rsidP="00DB7F8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8549A5">
              <w:rPr>
                <w:spacing w:val="-3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 всього </w:t>
            </w:r>
          </w:p>
          <w:p w:rsidR="008549A5" w:rsidRPr="008549A5" w:rsidRDefault="008549A5" w:rsidP="00DB7F8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8549A5">
              <w:rPr>
                <w:spacing w:val="-3"/>
                <w:sz w:val="28"/>
                <w:szCs w:val="28"/>
                <w:lang w:val="uk-UA"/>
              </w:rPr>
              <w:t xml:space="preserve"> ( </w:t>
            </w:r>
            <w:proofErr w:type="spellStart"/>
            <w:r w:rsidRPr="008549A5">
              <w:rPr>
                <w:spacing w:val="-3"/>
                <w:sz w:val="28"/>
                <w:szCs w:val="28"/>
                <w:lang w:val="uk-UA"/>
              </w:rPr>
              <w:t>тис.грн</w:t>
            </w:r>
            <w:proofErr w:type="spellEnd"/>
            <w:r w:rsidRPr="008549A5">
              <w:rPr>
                <w:spacing w:val="-3"/>
                <w:sz w:val="28"/>
                <w:szCs w:val="28"/>
                <w:lang w:val="uk-UA"/>
              </w:rPr>
              <w:t xml:space="preserve">.), </w:t>
            </w:r>
          </w:p>
          <w:p w:rsidR="008549A5" w:rsidRPr="008549A5" w:rsidRDefault="008549A5" w:rsidP="00DB7F8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8549A5">
              <w:rPr>
                <w:spacing w:val="-3"/>
                <w:sz w:val="28"/>
                <w:szCs w:val="28"/>
                <w:lang w:val="uk-UA"/>
              </w:rPr>
              <w:t>у тому числі:</w:t>
            </w:r>
          </w:p>
          <w:p w:rsidR="008549A5" w:rsidRPr="008549A5" w:rsidRDefault="008549A5" w:rsidP="00DB7F8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8549A5">
              <w:rPr>
                <w:spacing w:val="-3"/>
                <w:sz w:val="28"/>
                <w:szCs w:val="28"/>
                <w:lang w:val="uk-UA"/>
              </w:rPr>
              <w:t xml:space="preserve">кошти районного бюджету               </w:t>
            </w:r>
          </w:p>
          <w:p w:rsidR="008549A5" w:rsidRPr="008549A5" w:rsidRDefault="008549A5" w:rsidP="00DB7F8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8549A5">
              <w:rPr>
                <w:spacing w:val="-3"/>
                <w:sz w:val="28"/>
                <w:szCs w:val="28"/>
                <w:lang w:val="uk-UA"/>
              </w:rPr>
              <w:t>кошти сільських бюджетів</w:t>
            </w:r>
          </w:p>
          <w:p w:rsidR="008549A5" w:rsidRPr="008549A5" w:rsidRDefault="008549A5" w:rsidP="00DB7F8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4783" w:type="dxa"/>
          </w:tcPr>
          <w:p w:rsidR="008549A5" w:rsidRPr="008549A5" w:rsidRDefault="008549A5" w:rsidP="00DB7F8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</w:p>
          <w:p w:rsidR="008549A5" w:rsidRPr="008549A5" w:rsidRDefault="008549A5" w:rsidP="00DB7F8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</w:p>
          <w:p w:rsidR="008549A5" w:rsidRPr="008549A5" w:rsidRDefault="008549A5" w:rsidP="00DB7F8E">
            <w:pPr>
              <w:spacing w:line="360" w:lineRule="auto"/>
              <w:jc w:val="center"/>
              <w:rPr>
                <w:spacing w:val="-3"/>
                <w:sz w:val="28"/>
                <w:szCs w:val="28"/>
                <w:lang w:val="uk-UA"/>
              </w:rPr>
            </w:pPr>
            <w:r w:rsidRPr="008549A5">
              <w:rPr>
                <w:spacing w:val="-3"/>
                <w:sz w:val="28"/>
                <w:szCs w:val="28"/>
                <w:lang w:val="uk-UA"/>
              </w:rPr>
              <w:t>283,403</w:t>
            </w:r>
          </w:p>
          <w:p w:rsidR="008549A5" w:rsidRPr="008549A5" w:rsidRDefault="008549A5" w:rsidP="00DB7F8E">
            <w:pPr>
              <w:spacing w:line="360" w:lineRule="auto"/>
              <w:jc w:val="center"/>
              <w:rPr>
                <w:spacing w:val="-3"/>
                <w:sz w:val="28"/>
                <w:szCs w:val="28"/>
                <w:lang w:val="uk-UA"/>
              </w:rPr>
            </w:pPr>
          </w:p>
          <w:p w:rsidR="008549A5" w:rsidRPr="008549A5" w:rsidRDefault="008549A5" w:rsidP="00DB7F8E">
            <w:pPr>
              <w:jc w:val="center"/>
              <w:rPr>
                <w:spacing w:val="-3"/>
                <w:sz w:val="28"/>
                <w:szCs w:val="28"/>
                <w:lang w:val="uk-UA"/>
              </w:rPr>
            </w:pPr>
            <w:r w:rsidRPr="008549A5">
              <w:rPr>
                <w:spacing w:val="-3"/>
                <w:sz w:val="28"/>
                <w:szCs w:val="28"/>
                <w:lang w:val="uk-UA"/>
              </w:rPr>
              <w:t>213,403</w:t>
            </w:r>
          </w:p>
          <w:p w:rsidR="008549A5" w:rsidRPr="008549A5" w:rsidRDefault="008549A5" w:rsidP="00DB7F8E">
            <w:pPr>
              <w:jc w:val="center"/>
              <w:rPr>
                <w:spacing w:val="-3"/>
                <w:sz w:val="28"/>
                <w:szCs w:val="28"/>
                <w:lang w:val="uk-UA"/>
              </w:rPr>
            </w:pPr>
            <w:r w:rsidRPr="008549A5">
              <w:rPr>
                <w:spacing w:val="-3"/>
                <w:sz w:val="28"/>
                <w:szCs w:val="28"/>
                <w:lang w:val="uk-UA"/>
              </w:rPr>
              <w:t>70,00</w:t>
            </w:r>
          </w:p>
          <w:p w:rsidR="008549A5" w:rsidRPr="008549A5" w:rsidRDefault="008549A5" w:rsidP="00DB7F8E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8549A5">
              <w:rPr>
                <w:spacing w:val="-3"/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8549A5" w:rsidRPr="008549A5" w:rsidRDefault="008549A5" w:rsidP="008549A5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549A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</w:t>
      </w:r>
    </w:p>
    <w:p w:rsidR="008549A5" w:rsidRPr="008549A5" w:rsidRDefault="008549A5" w:rsidP="008549A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549A5" w:rsidRPr="008549A5" w:rsidRDefault="008549A5" w:rsidP="008549A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549A5" w:rsidRPr="008549A5" w:rsidRDefault="008549A5" w:rsidP="008549A5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49A5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8549A5">
        <w:rPr>
          <w:rFonts w:ascii="Times New Roman" w:hAnsi="Times New Roman" w:cs="Times New Roman"/>
          <w:sz w:val="28"/>
          <w:szCs w:val="28"/>
          <w:lang w:val="uk-UA"/>
        </w:rPr>
        <w:t xml:space="preserve">. керуючого справами </w:t>
      </w:r>
    </w:p>
    <w:p w:rsidR="008549A5" w:rsidRPr="008549A5" w:rsidRDefault="008549A5" w:rsidP="008549A5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9A5">
        <w:rPr>
          <w:rFonts w:ascii="Times New Roman" w:hAnsi="Times New Roman" w:cs="Times New Roman"/>
          <w:sz w:val="28"/>
          <w:szCs w:val="28"/>
          <w:lang w:val="uk-UA"/>
        </w:rPr>
        <w:t>виконавчого апарату районної ради                                                 Н.А.</w:t>
      </w:r>
      <w:proofErr w:type="spellStart"/>
      <w:r w:rsidRPr="008549A5">
        <w:rPr>
          <w:rFonts w:ascii="Times New Roman" w:hAnsi="Times New Roman" w:cs="Times New Roman"/>
          <w:sz w:val="28"/>
          <w:szCs w:val="28"/>
          <w:lang w:val="uk-UA"/>
        </w:rPr>
        <w:t>Шишова</w:t>
      </w:r>
      <w:proofErr w:type="spellEnd"/>
    </w:p>
    <w:p w:rsidR="008549A5" w:rsidRPr="008549A5" w:rsidRDefault="008549A5" w:rsidP="008549A5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9A5" w:rsidRPr="008549A5" w:rsidRDefault="008549A5" w:rsidP="008549A5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9A5" w:rsidRPr="008549A5" w:rsidRDefault="008549A5" w:rsidP="008549A5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9A5" w:rsidRPr="008549A5" w:rsidRDefault="008549A5" w:rsidP="008549A5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9A5" w:rsidRPr="008549A5" w:rsidRDefault="008549A5" w:rsidP="008549A5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9A5" w:rsidRPr="008549A5" w:rsidRDefault="008549A5" w:rsidP="008549A5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9A5" w:rsidRPr="008549A5" w:rsidRDefault="008549A5" w:rsidP="008549A5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9A5" w:rsidRDefault="008549A5" w:rsidP="008549A5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9A5" w:rsidRPr="008549A5" w:rsidRDefault="008549A5" w:rsidP="008549A5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9A5" w:rsidRPr="008549A5" w:rsidRDefault="008549A5" w:rsidP="008549A5">
      <w:pPr>
        <w:pStyle w:val="a6"/>
        <w:ind w:firstLine="54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</w:t>
      </w:r>
      <w:r w:rsidRPr="008549A5">
        <w:rPr>
          <w:rFonts w:ascii="Times New Roman" w:hAnsi="Times New Roman" w:cs="Times New Roman"/>
          <w:lang w:val="uk-UA"/>
        </w:rPr>
        <w:t>Додаток 2</w:t>
      </w:r>
    </w:p>
    <w:p w:rsidR="008549A5" w:rsidRPr="008549A5" w:rsidRDefault="008549A5" w:rsidP="008549A5">
      <w:pPr>
        <w:pStyle w:val="a6"/>
        <w:tabs>
          <w:tab w:val="center" w:pos="4680"/>
          <w:tab w:val="right" w:pos="9355"/>
        </w:tabs>
        <w:ind w:firstLine="720"/>
        <w:rPr>
          <w:rFonts w:ascii="Times New Roman" w:hAnsi="Times New Roman" w:cs="Times New Roman"/>
          <w:lang w:val="uk-UA"/>
        </w:rPr>
      </w:pPr>
      <w:r w:rsidRPr="008549A5">
        <w:rPr>
          <w:rFonts w:ascii="Times New Roman" w:hAnsi="Times New Roman" w:cs="Times New Roman"/>
          <w:lang w:val="uk-UA"/>
        </w:rPr>
        <w:t xml:space="preserve">                                                                 до рішення тридцять третьої сесії</w:t>
      </w:r>
    </w:p>
    <w:p w:rsidR="008549A5" w:rsidRPr="008549A5" w:rsidRDefault="008549A5" w:rsidP="008549A5">
      <w:pPr>
        <w:pStyle w:val="a6"/>
        <w:tabs>
          <w:tab w:val="left" w:pos="4635"/>
          <w:tab w:val="left" w:pos="5505"/>
          <w:tab w:val="right" w:pos="9355"/>
        </w:tabs>
        <w:ind w:firstLine="720"/>
        <w:rPr>
          <w:rFonts w:ascii="Times New Roman" w:hAnsi="Times New Roman" w:cs="Times New Roman"/>
          <w:lang w:val="uk-UA"/>
        </w:rPr>
      </w:pPr>
      <w:r w:rsidRPr="008549A5">
        <w:rPr>
          <w:rFonts w:ascii="Times New Roman" w:hAnsi="Times New Roman" w:cs="Times New Roman"/>
          <w:lang w:val="uk-UA"/>
        </w:rPr>
        <w:t xml:space="preserve">                                                                 районної ради сьомого скликання</w:t>
      </w:r>
    </w:p>
    <w:p w:rsidR="008549A5" w:rsidRPr="008549A5" w:rsidRDefault="008549A5" w:rsidP="008549A5">
      <w:pPr>
        <w:pStyle w:val="a6"/>
        <w:tabs>
          <w:tab w:val="left" w:pos="4500"/>
        </w:tabs>
        <w:ind w:firstLine="720"/>
        <w:rPr>
          <w:rFonts w:ascii="Times New Roman" w:hAnsi="Times New Roman" w:cs="Times New Roman"/>
          <w:lang w:val="uk-UA"/>
        </w:rPr>
      </w:pPr>
      <w:r w:rsidRPr="008549A5">
        <w:rPr>
          <w:rFonts w:ascii="Times New Roman" w:hAnsi="Times New Roman" w:cs="Times New Roman"/>
          <w:lang w:val="uk-UA"/>
        </w:rPr>
        <w:t xml:space="preserve">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</w:t>
      </w:r>
      <w:r w:rsidRPr="008549A5">
        <w:rPr>
          <w:rFonts w:ascii="Times New Roman" w:hAnsi="Times New Roman" w:cs="Times New Roman"/>
          <w:lang w:val="uk-UA"/>
        </w:rPr>
        <w:t>від 27 листопада 2018 року</w:t>
      </w:r>
    </w:p>
    <w:p w:rsidR="008549A5" w:rsidRPr="008549A5" w:rsidRDefault="008549A5" w:rsidP="008549A5">
      <w:pPr>
        <w:tabs>
          <w:tab w:val="left" w:pos="22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49A5" w:rsidRPr="008549A5" w:rsidRDefault="008549A5" w:rsidP="008549A5">
      <w:pPr>
        <w:tabs>
          <w:tab w:val="left" w:pos="22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9A5">
        <w:rPr>
          <w:rFonts w:ascii="Times New Roman" w:hAnsi="Times New Roman" w:cs="Times New Roman"/>
          <w:b/>
          <w:sz w:val="28"/>
          <w:szCs w:val="28"/>
          <w:lang w:val="uk-UA"/>
        </w:rPr>
        <w:t>Нова редакція заходів Програми</w:t>
      </w:r>
    </w:p>
    <w:p w:rsidR="008549A5" w:rsidRPr="008549A5" w:rsidRDefault="008549A5" w:rsidP="008549A5">
      <w:pPr>
        <w:tabs>
          <w:tab w:val="left" w:pos="22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9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розділу </w:t>
      </w:r>
      <w:r w:rsidRPr="008549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549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«ЗАВДАННЯ  ПРОГРАМИ ТА РЕЗУЛЬТАТИВНІ ПОКАЗНИКИ» </w:t>
      </w:r>
    </w:p>
    <w:p w:rsidR="008549A5" w:rsidRPr="008549A5" w:rsidRDefault="008549A5" w:rsidP="008549A5">
      <w:pPr>
        <w:tabs>
          <w:tab w:val="left" w:pos="22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9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  комплексної Програми розвитку місцевого самоврядування у Лубенському районі на 2018  рік, затвердженої рішенням двадцять восьмої сесії районної ради сьомого скликання від 11 квітня 2018 року</w:t>
      </w:r>
    </w:p>
    <w:p w:rsidR="008549A5" w:rsidRPr="008549A5" w:rsidRDefault="008549A5" w:rsidP="008549A5">
      <w:pPr>
        <w:tabs>
          <w:tab w:val="left" w:pos="22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49A5" w:rsidRPr="008549A5" w:rsidRDefault="008549A5" w:rsidP="008549A5">
      <w:pPr>
        <w:tabs>
          <w:tab w:val="left" w:pos="22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1E0"/>
      </w:tblPr>
      <w:tblGrid>
        <w:gridCol w:w="617"/>
        <w:gridCol w:w="2573"/>
        <w:gridCol w:w="1722"/>
        <w:gridCol w:w="1281"/>
        <w:gridCol w:w="1281"/>
        <w:gridCol w:w="2097"/>
      </w:tblGrid>
      <w:tr w:rsidR="008549A5" w:rsidRPr="008549A5" w:rsidTr="00DB7F8E">
        <w:trPr>
          <w:trHeight w:val="240"/>
        </w:trPr>
        <w:tc>
          <w:tcPr>
            <w:tcW w:w="617" w:type="dxa"/>
            <w:vMerge w:val="restart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49A5">
              <w:rPr>
                <w:b/>
                <w:sz w:val="28"/>
                <w:szCs w:val="28"/>
                <w:lang w:val="uk-UA"/>
              </w:rPr>
              <w:t>№</w:t>
            </w:r>
          </w:p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49A5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573" w:type="dxa"/>
            <w:vMerge w:val="restart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549A5">
              <w:rPr>
                <w:b/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1722" w:type="dxa"/>
            <w:vMerge w:val="restart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rPr>
                <w:b/>
                <w:sz w:val="28"/>
                <w:szCs w:val="28"/>
                <w:lang w:val="uk-UA"/>
              </w:rPr>
            </w:pPr>
            <w:r w:rsidRPr="008549A5">
              <w:rPr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562" w:type="dxa"/>
            <w:gridSpan w:val="2"/>
          </w:tcPr>
          <w:p w:rsidR="008549A5" w:rsidRPr="008549A5" w:rsidRDefault="008549A5" w:rsidP="00DB7F8E">
            <w:pPr>
              <w:tabs>
                <w:tab w:val="left" w:pos="225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8549A5">
              <w:rPr>
                <w:b/>
                <w:sz w:val="28"/>
                <w:szCs w:val="28"/>
                <w:lang w:val="uk-UA"/>
              </w:rPr>
              <w:t>Джерела фінансування</w:t>
            </w:r>
          </w:p>
          <w:p w:rsidR="008549A5" w:rsidRPr="008549A5" w:rsidRDefault="008549A5" w:rsidP="00DB7F8E">
            <w:pPr>
              <w:tabs>
                <w:tab w:val="left" w:pos="225"/>
              </w:tabs>
              <w:jc w:val="center"/>
              <w:rPr>
                <w:b/>
                <w:lang w:val="uk-UA"/>
              </w:rPr>
            </w:pPr>
            <w:r w:rsidRPr="008549A5">
              <w:rPr>
                <w:b/>
                <w:lang w:val="uk-UA"/>
              </w:rPr>
              <w:t>всього на рік (</w:t>
            </w:r>
            <w:proofErr w:type="spellStart"/>
            <w:r w:rsidRPr="008549A5">
              <w:rPr>
                <w:b/>
                <w:lang w:val="uk-UA"/>
              </w:rPr>
              <w:t>тис.грн</w:t>
            </w:r>
            <w:proofErr w:type="spellEnd"/>
            <w:r w:rsidRPr="008549A5">
              <w:rPr>
                <w:b/>
                <w:lang w:val="uk-UA"/>
              </w:rPr>
              <w:t>.)</w:t>
            </w:r>
          </w:p>
        </w:tc>
        <w:tc>
          <w:tcPr>
            <w:tcW w:w="2097" w:type="dxa"/>
            <w:vMerge w:val="restart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49A5">
              <w:rPr>
                <w:b/>
                <w:sz w:val="28"/>
                <w:szCs w:val="28"/>
                <w:lang w:val="uk-UA"/>
              </w:rPr>
              <w:t>Очікувані результати</w:t>
            </w:r>
          </w:p>
        </w:tc>
      </w:tr>
      <w:tr w:rsidR="008549A5" w:rsidRPr="008549A5" w:rsidTr="00DB7F8E">
        <w:trPr>
          <w:trHeight w:val="240"/>
        </w:trPr>
        <w:tc>
          <w:tcPr>
            <w:tcW w:w="617" w:type="dxa"/>
            <w:vMerge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73" w:type="dxa"/>
            <w:vMerge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2" w:type="dxa"/>
            <w:vMerge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81" w:type="dxa"/>
            <w:shd w:val="clear" w:color="auto" w:fill="auto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b/>
                <w:lang w:val="uk-UA"/>
              </w:rPr>
            </w:pPr>
            <w:r w:rsidRPr="008549A5">
              <w:rPr>
                <w:b/>
                <w:lang w:val="uk-UA"/>
              </w:rPr>
              <w:t>районний</w:t>
            </w:r>
          </w:p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b/>
                <w:lang w:val="uk-UA"/>
              </w:rPr>
            </w:pPr>
            <w:r w:rsidRPr="008549A5">
              <w:rPr>
                <w:b/>
                <w:lang w:val="uk-UA"/>
              </w:rPr>
              <w:t>бюджет</w:t>
            </w:r>
          </w:p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1281" w:type="dxa"/>
            <w:shd w:val="clear" w:color="auto" w:fill="auto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b/>
                <w:lang w:val="uk-UA"/>
              </w:rPr>
            </w:pPr>
            <w:r w:rsidRPr="008549A5">
              <w:rPr>
                <w:b/>
                <w:lang w:val="uk-UA"/>
              </w:rPr>
              <w:t>бюджети</w:t>
            </w:r>
          </w:p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b/>
                <w:lang w:val="uk-UA"/>
              </w:rPr>
            </w:pPr>
            <w:r w:rsidRPr="008549A5">
              <w:rPr>
                <w:b/>
                <w:lang w:val="uk-UA"/>
              </w:rPr>
              <w:t>сільських</w:t>
            </w:r>
          </w:p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b/>
                <w:lang w:val="uk-UA"/>
              </w:rPr>
            </w:pPr>
            <w:r w:rsidRPr="008549A5">
              <w:rPr>
                <w:b/>
                <w:lang w:val="uk-UA"/>
              </w:rPr>
              <w:t xml:space="preserve">рад </w:t>
            </w:r>
          </w:p>
        </w:tc>
        <w:tc>
          <w:tcPr>
            <w:tcW w:w="2097" w:type="dxa"/>
            <w:vMerge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8549A5" w:rsidRPr="008549A5" w:rsidTr="00DB7F8E">
        <w:tc>
          <w:tcPr>
            <w:tcW w:w="617" w:type="dxa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73" w:type="dxa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lang w:val="uk-UA"/>
              </w:rPr>
            </w:pPr>
            <w:r w:rsidRPr="008549A5">
              <w:rPr>
                <w:lang w:val="uk-UA"/>
              </w:rPr>
              <w:t>Надання практичної допомоги органам місцевого самоврядування з питань організації їх роботи, діловодства, правового забезпечення, розробки документів, що регламентують їх діяльність та депутатами районної ради з питань щодо практичної реалізації їх повноважень</w:t>
            </w:r>
          </w:p>
        </w:tc>
        <w:tc>
          <w:tcPr>
            <w:tcW w:w="1722" w:type="dxa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>Районна рада</w:t>
            </w:r>
          </w:p>
        </w:tc>
        <w:tc>
          <w:tcPr>
            <w:tcW w:w="1281" w:type="dxa"/>
            <w:shd w:val="clear" w:color="auto" w:fill="auto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 xml:space="preserve">   2,00</w:t>
            </w:r>
          </w:p>
        </w:tc>
        <w:tc>
          <w:tcPr>
            <w:tcW w:w="1281" w:type="dxa"/>
            <w:shd w:val="clear" w:color="auto" w:fill="auto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49A5">
              <w:rPr>
                <w:b/>
                <w:sz w:val="28"/>
                <w:szCs w:val="28"/>
                <w:lang w:val="uk-UA"/>
              </w:rPr>
              <w:t xml:space="preserve">     -</w:t>
            </w:r>
          </w:p>
        </w:tc>
        <w:tc>
          <w:tcPr>
            <w:tcW w:w="2097" w:type="dxa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lang w:val="uk-UA"/>
              </w:rPr>
            </w:pPr>
            <w:r w:rsidRPr="008549A5">
              <w:rPr>
                <w:lang w:val="uk-UA"/>
              </w:rPr>
              <w:t>Підвищення рівня фахової підготовки посадових осіб місцевого самоврядування, депутатів місцевих рад</w:t>
            </w:r>
          </w:p>
        </w:tc>
      </w:tr>
      <w:tr w:rsidR="008549A5" w:rsidRPr="008549A5" w:rsidTr="00DB7F8E">
        <w:tc>
          <w:tcPr>
            <w:tcW w:w="617" w:type="dxa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573" w:type="dxa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lang w:val="uk-UA"/>
              </w:rPr>
            </w:pPr>
            <w:r w:rsidRPr="008549A5">
              <w:rPr>
                <w:lang w:val="uk-UA"/>
              </w:rPr>
              <w:t>Представницькі витрати під час проведення тематичних зустрічей, науково-практичних конференцій, «круглих столів» з представниками органів місцевого самоврядування інших районів та регіонів України, зарубіжних країн.</w:t>
            </w:r>
          </w:p>
        </w:tc>
        <w:tc>
          <w:tcPr>
            <w:tcW w:w="1722" w:type="dxa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>Районна рада</w:t>
            </w:r>
          </w:p>
        </w:tc>
        <w:tc>
          <w:tcPr>
            <w:tcW w:w="1281" w:type="dxa"/>
            <w:shd w:val="clear" w:color="auto" w:fill="auto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8549A5">
              <w:rPr>
                <w:sz w:val="28"/>
                <w:szCs w:val="28"/>
                <w:lang w:val="uk-UA"/>
              </w:rPr>
              <w:t>3,00</w:t>
            </w:r>
          </w:p>
        </w:tc>
        <w:tc>
          <w:tcPr>
            <w:tcW w:w="1281" w:type="dxa"/>
            <w:shd w:val="clear" w:color="auto" w:fill="auto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49A5">
              <w:rPr>
                <w:b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2097" w:type="dxa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lang w:val="uk-UA"/>
              </w:rPr>
            </w:pPr>
            <w:r w:rsidRPr="008549A5">
              <w:rPr>
                <w:lang w:val="uk-UA"/>
              </w:rPr>
              <w:t>Підвищення професіоналізму посадових осіб місцевого самоврядування та впровадження ефективних моделей розвитку територій</w:t>
            </w:r>
          </w:p>
        </w:tc>
      </w:tr>
      <w:tr w:rsidR="008549A5" w:rsidRPr="008549A5" w:rsidTr="00DB7F8E">
        <w:tc>
          <w:tcPr>
            <w:tcW w:w="617" w:type="dxa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573" w:type="dxa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lang w:val="uk-UA"/>
              </w:rPr>
            </w:pPr>
            <w:r w:rsidRPr="008549A5">
              <w:rPr>
                <w:lang w:val="uk-UA"/>
              </w:rPr>
              <w:t xml:space="preserve">Участь депутатів та працівників органів місцевого самоврядування району у обласних, всеукраїнських і міжрегіональних змаганнях, популяризація спорту та здорового </w:t>
            </w:r>
            <w:r w:rsidRPr="008549A5">
              <w:rPr>
                <w:lang w:val="uk-UA"/>
              </w:rPr>
              <w:lastRenderedPageBreak/>
              <w:t>способу життя</w:t>
            </w:r>
          </w:p>
        </w:tc>
        <w:tc>
          <w:tcPr>
            <w:tcW w:w="1722" w:type="dxa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lastRenderedPageBreak/>
              <w:t>Районна рада,</w:t>
            </w:r>
          </w:p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 xml:space="preserve">сільські ради </w:t>
            </w:r>
          </w:p>
        </w:tc>
        <w:tc>
          <w:tcPr>
            <w:tcW w:w="1281" w:type="dxa"/>
            <w:shd w:val="clear" w:color="auto" w:fill="auto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 xml:space="preserve">  20,00</w:t>
            </w:r>
          </w:p>
        </w:tc>
        <w:tc>
          <w:tcPr>
            <w:tcW w:w="1281" w:type="dxa"/>
            <w:shd w:val="clear" w:color="auto" w:fill="auto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 xml:space="preserve">    20,00 </w:t>
            </w:r>
          </w:p>
        </w:tc>
        <w:tc>
          <w:tcPr>
            <w:tcW w:w="2097" w:type="dxa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lang w:val="uk-UA"/>
              </w:rPr>
            </w:pPr>
            <w:r w:rsidRPr="008549A5">
              <w:rPr>
                <w:lang w:val="uk-UA"/>
              </w:rPr>
              <w:t xml:space="preserve">Пропаганда здорового способу життя, заохочення депутатів та працівників органів місцевого самоврядування  району до активного </w:t>
            </w:r>
            <w:r w:rsidRPr="008549A5">
              <w:rPr>
                <w:lang w:val="uk-UA"/>
              </w:rPr>
              <w:lastRenderedPageBreak/>
              <w:t>заняття спортом</w:t>
            </w:r>
          </w:p>
        </w:tc>
      </w:tr>
      <w:tr w:rsidR="008549A5" w:rsidRPr="008549A5" w:rsidTr="00DB7F8E">
        <w:tc>
          <w:tcPr>
            <w:tcW w:w="617" w:type="dxa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573" w:type="dxa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lang w:val="uk-UA"/>
              </w:rPr>
            </w:pPr>
            <w:r w:rsidRPr="008549A5">
              <w:rPr>
                <w:lang w:val="uk-UA"/>
              </w:rPr>
              <w:t>Ознайомлення сільських голів, депутатів районної ради з культурними, архітектурними та історичними пам’ятками України через організацію пізнавальних поїздок, що сприяє укладенню партнерських угод з іншими регіонами, набуттю нових знань і практичних навичок діяльності</w:t>
            </w:r>
          </w:p>
        </w:tc>
        <w:tc>
          <w:tcPr>
            <w:tcW w:w="1722" w:type="dxa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>Районна рада,</w:t>
            </w:r>
          </w:p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 xml:space="preserve">сільські ради </w:t>
            </w:r>
          </w:p>
        </w:tc>
        <w:tc>
          <w:tcPr>
            <w:tcW w:w="1281" w:type="dxa"/>
            <w:shd w:val="clear" w:color="auto" w:fill="auto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 xml:space="preserve">  40,00</w:t>
            </w:r>
          </w:p>
        </w:tc>
        <w:tc>
          <w:tcPr>
            <w:tcW w:w="1281" w:type="dxa"/>
            <w:shd w:val="clear" w:color="auto" w:fill="auto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8549A5">
              <w:rPr>
                <w:sz w:val="28"/>
                <w:szCs w:val="28"/>
                <w:lang w:val="uk-UA"/>
              </w:rPr>
              <w:t>50,00</w:t>
            </w:r>
          </w:p>
        </w:tc>
        <w:tc>
          <w:tcPr>
            <w:tcW w:w="2097" w:type="dxa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lang w:val="uk-UA"/>
              </w:rPr>
            </w:pPr>
            <w:r w:rsidRPr="008549A5">
              <w:rPr>
                <w:lang w:val="uk-UA"/>
              </w:rPr>
              <w:t xml:space="preserve">Презентація інвестиційного та економічного потенціалу району. Просування на міжрегіональному рівні позитивного іміджу району. </w:t>
            </w:r>
          </w:p>
        </w:tc>
      </w:tr>
      <w:tr w:rsidR="008549A5" w:rsidRPr="008549A5" w:rsidTr="00DB7F8E">
        <w:tc>
          <w:tcPr>
            <w:tcW w:w="617" w:type="dxa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573" w:type="dxa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lang w:val="uk-UA"/>
              </w:rPr>
            </w:pPr>
            <w:r w:rsidRPr="008549A5">
              <w:rPr>
                <w:lang w:val="uk-UA"/>
              </w:rPr>
              <w:t>Забезпечення належного функціонування, оновлення галереї фотопортретів в приміщенні районної ради</w:t>
            </w:r>
          </w:p>
        </w:tc>
        <w:tc>
          <w:tcPr>
            <w:tcW w:w="1722" w:type="dxa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>Районна рада</w:t>
            </w:r>
          </w:p>
        </w:tc>
        <w:tc>
          <w:tcPr>
            <w:tcW w:w="1281" w:type="dxa"/>
            <w:shd w:val="clear" w:color="auto" w:fill="auto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 xml:space="preserve">   3,00</w:t>
            </w:r>
          </w:p>
        </w:tc>
        <w:tc>
          <w:tcPr>
            <w:tcW w:w="1281" w:type="dxa"/>
            <w:shd w:val="clear" w:color="auto" w:fill="auto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</w:pPr>
            <w:r w:rsidRPr="008549A5">
              <w:rPr>
                <w:lang w:val="uk-UA"/>
              </w:rPr>
              <w:t xml:space="preserve">Вшанування  </w:t>
            </w:r>
            <w:proofErr w:type="spellStart"/>
            <w:r w:rsidRPr="008549A5">
              <w:rPr>
                <w:lang w:val="uk-UA"/>
              </w:rPr>
              <w:t>пам</w:t>
            </w:r>
            <w:proofErr w:type="spellEnd"/>
            <w:r w:rsidRPr="008549A5">
              <w:t>’</w:t>
            </w:r>
            <w:r w:rsidRPr="008549A5">
              <w:rPr>
                <w:lang w:val="uk-UA"/>
              </w:rPr>
              <w:t>яті та особистого внеску жителів району в забезпечення безпеки держави та її територіальної цілісності</w:t>
            </w:r>
          </w:p>
        </w:tc>
      </w:tr>
      <w:tr w:rsidR="008549A5" w:rsidRPr="008549A5" w:rsidTr="00DB7F8E">
        <w:tc>
          <w:tcPr>
            <w:tcW w:w="617" w:type="dxa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573" w:type="dxa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lang w:val="uk-UA"/>
              </w:rPr>
            </w:pPr>
            <w:r w:rsidRPr="008549A5">
              <w:rPr>
                <w:lang w:val="uk-UA"/>
              </w:rPr>
              <w:t xml:space="preserve">Виготовлення та придбання презентаційної продукції </w:t>
            </w:r>
          </w:p>
        </w:tc>
        <w:tc>
          <w:tcPr>
            <w:tcW w:w="1722" w:type="dxa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>Районна рада</w:t>
            </w:r>
          </w:p>
        </w:tc>
        <w:tc>
          <w:tcPr>
            <w:tcW w:w="1281" w:type="dxa"/>
            <w:shd w:val="clear" w:color="auto" w:fill="auto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 xml:space="preserve">  50,00</w:t>
            </w:r>
          </w:p>
        </w:tc>
        <w:tc>
          <w:tcPr>
            <w:tcW w:w="1281" w:type="dxa"/>
            <w:shd w:val="clear" w:color="auto" w:fill="auto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49A5">
              <w:rPr>
                <w:b/>
                <w:sz w:val="28"/>
                <w:szCs w:val="28"/>
                <w:lang w:val="uk-UA"/>
              </w:rPr>
              <w:t xml:space="preserve">    -</w:t>
            </w:r>
          </w:p>
        </w:tc>
        <w:tc>
          <w:tcPr>
            <w:tcW w:w="2097" w:type="dxa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lang w:val="uk-UA"/>
              </w:rPr>
            </w:pPr>
            <w:r w:rsidRPr="008549A5">
              <w:rPr>
                <w:lang w:val="uk-UA"/>
              </w:rPr>
              <w:t>Презентація на міжрегіональному рівні позитивного іміджу району, його культурної, історичної спадщини</w:t>
            </w:r>
          </w:p>
        </w:tc>
      </w:tr>
      <w:tr w:rsidR="008549A5" w:rsidRPr="008549A5" w:rsidTr="00DB7F8E">
        <w:tc>
          <w:tcPr>
            <w:tcW w:w="617" w:type="dxa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573" w:type="dxa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lang w:val="uk-UA"/>
              </w:rPr>
            </w:pPr>
            <w:r w:rsidRPr="008549A5">
              <w:rPr>
                <w:lang w:val="uk-UA"/>
              </w:rPr>
              <w:t>Забезпечення виплат  переможцям літературно-мистецької премії ім. Василя Симоненка</w:t>
            </w:r>
          </w:p>
        </w:tc>
        <w:tc>
          <w:tcPr>
            <w:tcW w:w="1722" w:type="dxa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>Районна рада</w:t>
            </w:r>
          </w:p>
        </w:tc>
        <w:tc>
          <w:tcPr>
            <w:tcW w:w="1281" w:type="dxa"/>
            <w:shd w:val="clear" w:color="auto" w:fill="auto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8549A5">
              <w:rPr>
                <w:sz w:val="28"/>
                <w:szCs w:val="28"/>
                <w:lang w:val="uk-UA"/>
              </w:rPr>
              <w:t>10,00</w:t>
            </w:r>
          </w:p>
        </w:tc>
        <w:tc>
          <w:tcPr>
            <w:tcW w:w="1281" w:type="dxa"/>
            <w:shd w:val="clear" w:color="auto" w:fill="auto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49A5">
              <w:rPr>
                <w:b/>
                <w:sz w:val="28"/>
                <w:szCs w:val="28"/>
                <w:lang w:val="uk-UA"/>
              </w:rPr>
              <w:t xml:space="preserve">     -</w:t>
            </w:r>
          </w:p>
        </w:tc>
        <w:tc>
          <w:tcPr>
            <w:tcW w:w="2097" w:type="dxa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lang w:val="uk-UA"/>
              </w:rPr>
            </w:pPr>
            <w:r w:rsidRPr="008549A5">
              <w:rPr>
                <w:lang w:val="uk-UA"/>
              </w:rPr>
              <w:t xml:space="preserve">Популяризація районної премії, підтримка творчої інтелігенції, відзначення кращих робіт та заохочення переможців  </w:t>
            </w:r>
          </w:p>
        </w:tc>
      </w:tr>
      <w:tr w:rsidR="008549A5" w:rsidRPr="008549A5" w:rsidTr="00DB7F8E">
        <w:tc>
          <w:tcPr>
            <w:tcW w:w="617" w:type="dxa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573" w:type="dxa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lang w:val="uk-UA"/>
              </w:rPr>
            </w:pPr>
            <w:r w:rsidRPr="008549A5">
              <w:rPr>
                <w:lang w:val="uk-UA"/>
              </w:rPr>
              <w:t>Висвітлення діяльності районної ради у  засобах масової інформації</w:t>
            </w:r>
          </w:p>
        </w:tc>
        <w:tc>
          <w:tcPr>
            <w:tcW w:w="1722" w:type="dxa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>Районна рада</w:t>
            </w:r>
          </w:p>
        </w:tc>
        <w:tc>
          <w:tcPr>
            <w:tcW w:w="1281" w:type="dxa"/>
            <w:shd w:val="clear" w:color="auto" w:fill="auto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 xml:space="preserve">  60,00</w:t>
            </w:r>
          </w:p>
        </w:tc>
        <w:tc>
          <w:tcPr>
            <w:tcW w:w="1281" w:type="dxa"/>
            <w:shd w:val="clear" w:color="auto" w:fill="auto"/>
          </w:tcPr>
          <w:p w:rsidR="008549A5" w:rsidRPr="008549A5" w:rsidRDefault="008549A5" w:rsidP="00DB7F8E">
            <w:pPr>
              <w:tabs>
                <w:tab w:val="left" w:pos="225"/>
              </w:tabs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549A5">
              <w:rPr>
                <w:b/>
                <w:sz w:val="28"/>
                <w:szCs w:val="28"/>
                <w:lang w:val="uk-UA"/>
              </w:rPr>
              <w:t xml:space="preserve">    -</w:t>
            </w:r>
          </w:p>
        </w:tc>
        <w:tc>
          <w:tcPr>
            <w:tcW w:w="2097" w:type="dxa"/>
          </w:tcPr>
          <w:p w:rsidR="008549A5" w:rsidRPr="008549A5" w:rsidRDefault="008549A5" w:rsidP="00DB7F8E">
            <w:pPr>
              <w:tabs>
                <w:tab w:val="left" w:pos="225"/>
              </w:tabs>
              <w:jc w:val="both"/>
              <w:rPr>
                <w:lang w:val="uk-UA"/>
              </w:rPr>
            </w:pPr>
            <w:r w:rsidRPr="008549A5">
              <w:rPr>
                <w:lang w:val="uk-UA"/>
              </w:rPr>
              <w:t>Створення прозорої системи для прийняття управлінських рішень органами місцевого самоврядування, підвищення довіри до органів місцевого самоврядування всіх рівнів</w:t>
            </w:r>
          </w:p>
        </w:tc>
      </w:tr>
      <w:tr w:rsidR="008549A5" w:rsidRPr="008549A5" w:rsidTr="00DB7F8E">
        <w:tc>
          <w:tcPr>
            <w:tcW w:w="617" w:type="dxa"/>
          </w:tcPr>
          <w:p w:rsidR="008549A5" w:rsidRPr="008549A5" w:rsidRDefault="008549A5" w:rsidP="00DB7F8E">
            <w:pPr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573" w:type="dxa"/>
          </w:tcPr>
          <w:p w:rsidR="008549A5" w:rsidRPr="008549A5" w:rsidRDefault="008549A5" w:rsidP="00DB7F8E">
            <w:pPr>
              <w:rPr>
                <w:lang w:val="uk-UA"/>
              </w:rPr>
            </w:pPr>
            <w:r w:rsidRPr="008549A5">
              <w:rPr>
                <w:lang w:val="uk-UA"/>
              </w:rPr>
              <w:t>Забезпечення  сплати членських внесків до асоціацій органів місцевого самоврядування, членом яких є Лубенська районна рада</w:t>
            </w:r>
          </w:p>
        </w:tc>
        <w:tc>
          <w:tcPr>
            <w:tcW w:w="1722" w:type="dxa"/>
          </w:tcPr>
          <w:p w:rsidR="008549A5" w:rsidRPr="008549A5" w:rsidRDefault="008549A5" w:rsidP="00DB7F8E">
            <w:pPr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>Районна рада</w:t>
            </w:r>
          </w:p>
        </w:tc>
        <w:tc>
          <w:tcPr>
            <w:tcW w:w="1281" w:type="dxa"/>
          </w:tcPr>
          <w:p w:rsidR="008549A5" w:rsidRPr="008549A5" w:rsidRDefault="008549A5" w:rsidP="00DB7F8E">
            <w:pPr>
              <w:rPr>
                <w:sz w:val="28"/>
                <w:szCs w:val="28"/>
                <w:lang w:val="uk-UA"/>
              </w:rPr>
            </w:pPr>
            <w:r w:rsidRPr="008549A5">
              <w:rPr>
                <w:sz w:val="28"/>
                <w:szCs w:val="28"/>
                <w:lang w:val="uk-UA"/>
              </w:rPr>
              <w:t xml:space="preserve"> 25,403</w:t>
            </w:r>
          </w:p>
        </w:tc>
        <w:tc>
          <w:tcPr>
            <w:tcW w:w="1281" w:type="dxa"/>
          </w:tcPr>
          <w:p w:rsidR="008549A5" w:rsidRPr="008549A5" w:rsidRDefault="008549A5" w:rsidP="00DB7F8E">
            <w:pPr>
              <w:rPr>
                <w:b/>
                <w:sz w:val="32"/>
                <w:szCs w:val="32"/>
                <w:lang w:val="uk-UA"/>
              </w:rPr>
            </w:pPr>
            <w:r w:rsidRPr="008549A5">
              <w:rPr>
                <w:b/>
                <w:sz w:val="32"/>
                <w:szCs w:val="32"/>
                <w:lang w:val="uk-UA"/>
              </w:rPr>
              <w:t xml:space="preserve">   </w:t>
            </w:r>
            <w:r w:rsidRPr="008549A5">
              <w:rPr>
                <w:b/>
                <w:sz w:val="28"/>
                <w:szCs w:val="28"/>
                <w:lang w:val="uk-UA"/>
              </w:rPr>
              <w:t xml:space="preserve">    -</w:t>
            </w:r>
          </w:p>
        </w:tc>
        <w:tc>
          <w:tcPr>
            <w:tcW w:w="2097" w:type="dxa"/>
          </w:tcPr>
          <w:p w:rsidR="008549A5" w:rsidRPr="008549A5" w:rsidRDefault="008549A5" w:rsidP="00DB7F8E">
            <w:pPr>
              <w:rPr>
                <w:sz w:val="28"/>
                <w:szCs w:val="28"/>
                <w:lang w:val="uk-UA"/>
              </w:rPr>
            </w:pPr>
            <w:r w:rsidRPr="008549A5">
              <w:rPr>
                <w:lang w:val="uk-UA"/>
              </w:rPr>
              <w:t>Вивчення, узагальнення та поширення передового вітчизняного досвіду діяльності органів місцевого самоврядування,</w:t>
            </w:r>
            <w:r w:rsidRPr="008549A5">
              <w:rPr>
                <w:color w:val="000000"/>
                <w:shd w:val="clear" w:color="auto" w:fill="FFFFFF"/>
                <w:lang w:val="uk-UA"/>
              </w:rPr>
              <w:t xml:space="preserve"> узгодження дій органів місцевого самоврядування щодо захисту прав та інтересів територіальних громад, сприяння місцевому та регіональному розвитку.</w:t>
            </w:r>
          </w:p>
        </w:tc>
      </w:tr>
    </w:tbl>
    <w:p w:rsidR="008549A5" w:rsidRPr="008549A5" w:rsidRDefault="008549A5" w:rsidP="008549A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549A5" w:rsidRPr="008549A5" w:rsidRDefault="008549A5" w:rsidP="008549A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549A5" w:rsidRPr="008549A5" w:rsidRDefault="008549A5" w:rsidP="008549A5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549A5" w:rsidRPr="008549A5" w:rsidRDefault="008549A5" w:rsidP="008549A5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49A5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8549A5">
        <w:rPr>
          <w:rFonts w:ascii="Times New Roman" w:hAnsi="Times New Roman" w:cs="Times New Roman"/>
          <w:sz w:val="28"/>
          <w:szCs w:val="28"/>
          <w:lang w:val="uk-UA"/>
        </w:rPr>
        <w:t xml:space="preserve">. керуючого справами </w:t>
      </w:r>
    </w:p>
    <w:p w:rsidR="008549A5" w:rsidRPr="008549A5" w:rsidRDefault="008549A5" w:rsidP="008549A5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9A5">
        <w:rPr>
          <w:rFonts w:ascii="Times New Roman" w:hAnsi="Times New Roman" w:cs="Times New Roman"/>
          <w:sz w:val="28"/>
          <w:szCs w:val="28"/>
          <w:lang w:val="uk-UA"/>
        </w:rPr>
        <w:t>виконавчого апарату районної ради                                                 Н.А.</w:t>
      </w:r>
      <w:proofErr w:type="spellStart"/>
      <w:r w:rsidRPr="008549A5">
        <w:rPr>
          <w:rFonts w:ascii="Times New Roman" w:hAnsi="Times New Roman" w:cs="Times New Roman"/>
          <w:sz w:val="28"/>
          <w:szCs w:val="28"/>
          <w:lang w:val="uk-UA"/>
        </w:rPr>
        <w:t>Шишова</w:t>
      </w:r>
      <w:proofErr w:type="spellEnd"/>
    </w:p>
    <w:p w:rsidR="008549A5" w:rsidRPr="008549A5" w:rsidRDefault="008549A5" w:rsidP="008549A5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49A5" w:rsidRPr="008549A5" w:rsidRDefault="008549A5" w:rsidP="008549A5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9A5" w:rsidRPr="008549A5" w:rsidRDefault="008549A5" w:rsidP="008549A5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9A5" w:rsidRPr="008549A5" w:rsidRDefault="008549A5" w:rsidP="008549A5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9A5" w:rsidRPr="008549A5" w:rsidRDefault="008549A5" w:rsidP="008549A5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9A5" w:rsidRDefault="008549A5" w:rsidP="008549A5">
      <w:pPr>
        <w:tabs>
          <w:tab w:val="left" w:pos="225"/>
        </w:tabs>
        <w:jc w:val="both"/>
        <w:rPr>
          <w:sz w:val="28"/>
          <w:szCs w:val="28"/>
          <w:lang w:val="uk-UA"/>
        </w:rPr>
      </w:pPr>
    </w:p>
    <w:p w:rsidR="008549A5" w:rsidRDefault="008549A5" w:rsidP="008549A5">
      <w:pPr>
        <w:tabs>
          <w:tab w:val="left" w:pos="225"/>
        </w:tabs>
        <w:jc w:val="both"/>
        <w:rPr>
          <w:sz w:val="28"/>
          <w:szCs w:val="28"/>
          <w:lang w:val="uk-UA"/>
        </w:rPr>
      </w:pPr>
    </w:p>
    <w:p w:rsidR="008549A5" w:rsidRDefault="008549A5" w:rsidP="008549A5">
      <w:pPr>
        <w:tabs>
          <w:tab w:val="left" w:pos="225"/>
        </w:tabs>
        <w:jc w:val="both"/>
        <w:rPr>
          <w:sz w:val="28"/>
          <w:szCs w:val="28"/>
          <w:lang w:val="uk-UA"/>
        </w:rPr>
      </w:pPr>
    </w:p>
    <w:p w:rsidR="008549A5" w:rsidRDefault="008549A5" w:rsidP="008549A5">
      <w:pPr>
        <w:tabs>
          <w:tab w:val="left" w:pos="225"/>
        </w:tabs>
        <w:jc w:val="both"/>
        <w:rPr>
          <w:sz w:val="28"/>
          <w:szCs w:val="28"/>
          <w:lang w:val="uk-UA"/>
        </w:rPr>
      </w:pPr>
    </w:p>
    <w:p w:rsidR="008549A5" w:rsidRDefault="008549A5" w:rsidP="008549A5">
      <w:pPr>
        <w:tabs>
          <w:tab w:val="left" w:pos="225"/>
        </w:tabs>
        <w:jc w:val="both"/>
        <w:rPr>
          <w:sz w:val="28"/>
          <w:szCs w:val="28"/>
          <w:lang w:val="uk-UA"/>
        </w:rPr>
      </w:pPr>
    </w:p>
    <w:p w:rsidR="008549A5" w:rsidRDefault="008549A5" w:rsidP="008549A5">
      <w:pPr>
        <w:tabs>
          <w:tab w:val="left" w:pos="225"/>
        </w:tabs>
        <w:jc w:val="both"/>
        <w:rPr>
          <w:sz w:val="28"/>
          <w:szCs w:val="28"/>
          <w:lang w:val="uk-UA"/>
        </w:rPr>
      </w:pPr>
    </w:p>
    <w:p w:rsidR="008549A5" w:rsidRDefault="008549A5" w:rsidP="008549A5">
      <w:pPr>
        <w:tabs>
          <w:tab w:val="left" w:pos="225"/>
        </w:tabs>
        <w:jc w:val="both"/>
        <w:rPr>
          <w:sz w:val="28"/>
          <w:szCs w:val="28"/>
          <w:lang w:val="uk-UA"/>
        </w:rPr>
      </w:pPr>
    </w:p>
    <w:p w:rsidR="001266E9" w:rsidRPr="008549A5" w:rsidRDefault="001266E9">
      <w:pPr>
        <w:rPr>
          <w:lang w:val="uk-UA"/>
        </w:rPr>
      </w:pPr>
    </w:p>
    <w:sectPr w:rsidR="001266E9" w:rsidRPr="0085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9A5"/>
    <w:rsid w:val="001266E9"/>
    <w:rsid w:val="0085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549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5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549A5"/>
    <w:rPr>
      <w:sz w:val="28"/>
      <w:szCs w:val="28"/>
    </w:rPr>
  </w:style>
  <w:style w:type="paragraph" w:styleId="a6">
    <w:name w:val="Title"/>
    <w:basedOn w:val="a"/>
    <w:link w:val="a5"/>
    <w:qFormat/>
    <w:rsid w:val="008549A5"/>
    <w:pPr>
      <w:spacing w:after="0" w:line="240" w:lineRule="auto"/>
      <w:jc w:val="center"/>
    </w:pPr>
    <w:rPr>
      <w:sz w:val="28"/>
      <w:szCs w:val="28"/>
    </w:rPr>
  </w:style>
  <w:style w:type="character" w:customStyle="1" w:styleId="1">
    <w:name w:val="Название Знак1"/>
    <w:basedOn w:val="a0"/>
    <w:link w:val="a6"/>
    <w:uiPriority w:val="10"/>
    <w:rsid w:val="00854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2018-11-29T12:01:00Z</dcterms:created>
  <dcterms:modified xsi:type="dcterms:W3CDTF">2018-11-29T12:02:00Z</dcterms:modified>
</cp:coreProperties>
</file>