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55" w:rsidRDefault="00F25955" w:rsidP="00F25955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F25955" w:rsidRDefault="00F25955" w:rsidP="00F25955">
      <w:pPr>
        <w:tabs>
          <w:tab w:val="left" w:pos="2730"/>
        </w:tabs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до рішення двадцять восьмої сесії</w:t>
      </w:r>
    </w:p>
    <w:p w:rsidR="00F25955" w:rsidRDefault="00F25955" w:rsidP="00F25955">
      <w:pPr>
        <w:tabs>
          <w:tab w:val="left" w:pos="2730"/>
        </w:tabs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районної ради сьомого скликання </w:t>
      </w:r>
    </w:p>
    <w:p w:rsidR="00F25955" w:rsidRDefault="00F25955" w:rsidP="00F25955">
      <w:pPr>
        <w:pStyle w:val="a3"/>
        <w:tabs>
          <w:tab w:val="left" w:pos="4500"/>
        </w:tabs>
        <w:ind w:firstLine="720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  <w:proofErr w:type="spellStart"/>
      <w:r>
        <w:t>від</w:t>
      </w:r>
      <w:proofErr w:type="spellEnd"/>
      <w:r>
        <w:t xml:space="preserve"> 11 </w:t>
      </w:r>
      <w:r>
        <w:rPr>
          <w:lang w:val="uk-UA"/>
        </w:rPr>
        <w:t>квітня</w:t>
      </w:r>
      <w:r>
        <w:t xml:space="preserve"> 2018 року</w:t>
      </w: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jc w:val="center"/>
        <w:rPr>
          <w:b/>
          <w:spacing w:val="-3"/>
          <w:sz w:val="36"/>
          <w:szCs w:val="36"/>
          <w:lang w:val="uk-UA"/>
        </w:rPr>
      </w:pPr>
      <w:r>
        <w:rPr>
          <w:b/>
          <w:spacing w:val="-3"/>
          <w:sz w:val="36"/>
          <w:szCs w:val="36"/>
          <w:lang w:val="uk-UA"/>
        </w:rPr>
        <w:t>РАЙОННА  КОМПЛЕКСНА  ПРОГРАМА</w:t>
      </w:r>
    </w:p>
    <w:p w:rsidR="00F25955" w:rsidRDefault="00F25955" w:rsidP="00F25955">
      <w:pPr>
        <w:shd w:val="clear" w:color="auto" w:fill="FFFFFF"/>
        <w:jc w:val="center"/>
        <w:rPr>
          <w:b/>
          <w:spacing w:val="-3"/>
          <w:sz w:val="36"/>
          <w:szCs w:val="36"/>
          <w:lang w:val="uk-UA"/>
        </w:rPr>
      </w:pPr>
      <w:r>
        <w:rPr>
          <w:b/>
          <w:spacing w:val="-3"/>
          <w:sz w:val="36"/>
          <w:szCs w:val="36"/>
          <w:lang w:val="uk-UA"/>
        </w:rPr>
        <w:t>РОЗВИТКУ  МІСЦЕВОГО  САМОВРЯДУВАННЯ У ЛУБЕНСЬКОМУ РАЙОНІ  НА 2018  РІК</w:t>
      </w: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sz w:val="36"/>
          <w:szCs w:val="36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sz w:val="24"/>
          <w:szCs w:val="24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lang w:val="uk-UA"/>
        </w:rPr>
      </w:pPr>
    </w:p>
    <w:p w:rsidR="00F25955" w:rsidRDefault="00F25955" w:rsidP="00F25955">
      <w:pPr>
        <w:shd w:val="clear" w:color="auto" w:fill="FFFFFF"/>
        <w:jc w:val="both"/>
        <w:rPr>
          <w:b/>
          <w:spacing w:val="-3"/>
          <w:sz w:val="28"/>
          <w:szCs w:val="28"/>
          <w:lang w:val="uk-UA"/>
        </w:rPr>
      </w:pPr>
      <w:r>
        <w:rPr>
          <w:spacing w:val="-3"/>
          <w:lang w:val="uk-UA"/>
        </w:rPr>
        <w:t xml:space="preserve">                                                              </w:t>
      </w:r>
      <w:r>
        <w:rPr>
          <w:b/>
          <w:spacing w:val="-3"/>
          <w:sz w:val="28"/>
          <w:szCs w:val="28"/>
          <w:lang w:val="uk-UA"/>
        </w:rPr>
        <w:t>Лубни-2018</w:t>
      </w:r>
    </w:p>
    <w:p w:rsidR="00F25955" w:rsidRDefault="00F25955" w:rsidP="00F25955">
      <w:pPr>
        <w:shd w:val="clear" w:color="auto" w:fill="FFFFFF"/>
        <w:ind w:left="4973"/>
        <w:jc w:val="both"/>
        <w:rPr>
          <w:spacing w:val="-3"/>
          <w:sz w:val="28"/>
          <w:szCs w:val="28"/>
          <w:lang w:val="uk-UA"/>
        </w:rPr>
      </w:pPr>
    </w:p>
    <w:p w:rsidR="00F25955" w:rsidRDefault="00F25955" w:rsidP="00F25955">
      <w:pPr>
        <w:shd w:val="clear" w:color="auto" w:fill="FFFFFF"/>
        <w:spacing w:line="360" w:lineRule="auto"/>
        <w:jc w:val="both"/>
        <w:rPr>
          <w:b/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spacing w:val="-3"/>
          <w:sz w:val="28"/>
          <w:szCs w:val="28"/>
          <w:lang w:val="uk-UA"/>
        </w:rPr>
        <w:t>РОЗДІЛ 1</w:t>
      </w:r>
    </w:p>
    <w:p w:rsidR="00F25955" w:rsidRDefault="00F25955" w:rsidP="00F25955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  <w:r>
        <w:rPr>
          <w:b/>
          <w:spacing w:val="-3"/>
          <w:sz w:val="28"/>
          <w:szCs w:val="28"/>
          <w:lang w:val="uk-UA"/>
        </w:rPr>
        <w:t xml:space="preserve">                     ЗАГАЛЬНА  ХАРАКТЕРИСТИКА  ПРОГРАМИ</w:t>
      </w:r>
    </w:p>
    <w:tbl>
      <w:tblPr>
        <w:tblStyle w:val="a5"/>
        <w:tblW w:w="0" w:type="auto"/>
        <w:tblInd w:w="0" w:type="dxa"/>
        <w:tblLook w:val="01E0"/>
      </w:tblPr>
      <w:tblGrid>
        <w:gridCol w:w="4140"/>
        <w:gridCol w:w="4783"/>
      </w:tblGrid>
      <w:tr w:rsidR="00F25955" w:rsidTr="00F2595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5" w:rsidRDefault="00F25955">
            <w:pPr>
              <w:spacing w:line="360" w:lineRule="auto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F25955" w:rsidRDefault="00F25955">
            <w:pPr>
              <w:spacing w:line="360" w:lineRule="auto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Ініціатор розроблення Програми</w:t>
            </w:r>
          </w:p>
          <w:p w:rsidR="00F25955" w:rsidRDefault="00F25955">
            <w:pPr>
              <w:spacing w:line="360" w:lineRule="auto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5" w:rsidRDefault="00F25955">
            <w:pPr>
              <w:spacing w:line="360" w:lineRule="auto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F25955" w:rsidRDefault="00F25955">
            <w:pPr>
              <w:spacing w:line="360" w:lineRule="auto"/>
              <w:jc w:val="center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Лубенська районна рада</w:t>
            </w:r>
          </w:p>
        </w:tc>
      </w:tr>
      <w:tr w:rsidR="00F25955" w:rsidRPr="00F25955" w:rsidTr="00F2595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Підстава для розроблення Програми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Закон України «Про місцеве самоврядування в Україні», Указ Президента України «Про державну підтримку розвитку місцевого самоврядування в Україні»; рішення районної ради від 14.14.200 р. «Про заснування щорічної премії імені Василя Симоненка», рішення районної ради від 04.05.2017 р. «Про присвоєння звання Почесний громадянин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Лубенщини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»,  рішення районної ради від 20.07.2017 р. «Про присвоєння звання Почесний громадянин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Лубенщини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».  </w:t>
            </w:r>
          </w:p>
        </w:tc>
      </w:tr>
      <w:tr w:rsidR="00F25955" w:rsidTr="00F25955">
        <w:trPr>
          <w:trHeight w:val="11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5" w:rsidRDefault="00F25955">
            <w:pPr>
              <w:spacing w:line="360" w:lineRule="auto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F25955" w:rsidRDefault="00F25955">
            <w:pPr>
              <w:spacing w:line="360" w:lineRule="auto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       Розробник Програми</w:t>
            </w:r>
          </w:p>
          <w:p w:rsidR="00F25955" w:rsidRDefault="00F25955">
            <w:pPr>
              <w:spacing w:line="360" w:lineRule="auto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5" w:rsidRDefault="00F25955">
            <w:pPr>
              <w:spacing w:line="360" w:lineRule="auto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F25955" w:rsidRDefault="00F25955">
            <w:pPr>
              <w:spacing w:line="360" w:lineRule="auto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      Лубенська районна рада</w:t>
            </w:r>
          </w:p>
        </w:tc>
      </w:tr>
      <w:tr w:rsidR="00F25955" w:rsidTr="00F2595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spacing w:line="360" w:lineRule="auto"/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      Лубенська районна рада</w:t>
            </w:r>
          </w:p>
        </w:tc>
      </w:tr>
      <w:tr w:rsidR="00F25955" w:rsidRPr="00F25955" w:rsidTr="00F2595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Виконавці  Програми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   Виконавчі комітети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Березотіцької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Бієвецької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Вовчицької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Духівської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Жданівської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Ісковецької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Калайдинцівської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Новооріхівської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Окіпської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Остапівської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Снітинської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Тарандинцівської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Тишківської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Хорошківської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 сільських рад</w:t>
            </w:r>
          </w:p>
        </w:tc>
      </w:tr>
      <w:tr w:rsidR="00F25955" w:rsidTr="00F2595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spacing w:line="360" w:lineRule="auto"/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spacing w:line="360" w:lineRule="auto"/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                 2018  рік</w:t>
            </w:r>
          </w:p>
        </w:tc>
      </w:tr>
      <w:tr w:rsidR="00F25955" w:rsidTr="00F2595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   </w:t>
            </w:r>
          </w:p>
          <w:p w:rsidR="00F25955" w:rsidRDefault="00F25955">
            <w:pPr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 Районний бюджет, сільські бюджети  </w:t>
            </w:r>
          </w:p>
          <w:p w:rsidR="00F25955" w:rsidRDefault="00F25955">
            <w:pPr>
              <w:spacing w:line="360" w:lineRule="auto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         </w:t>
            </w:r>
          </w:p>
        </w:tc>
      </w:tr>
      <w:tr w:rsidR="00F25955" w:rsidTr="00F2595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всього </w:t>
            </w:r>
          </w:p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( </w:t>
            </w:r>
            <w:proofErr w:type="spellStart"/>
            <w:r>
              <w:rPr>
                <w:spacing w:val="-3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spacing w:val="-3"/>
                <w:sz w:val="28"/>
                <w:szCs w:val="28"/>
                <w:lang w:val="uk-UA"/>
              </w:rPr>
              <w:t xml:space="preserve">.), </w:t>
            </w:r>
          </w:p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у тому числі:</w:t>
            </w:r>
          </w:p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кошти районного бюджету               </w:t>
            </w:r>
          </w:p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кошти сільських бюджетів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</w:p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</w:p>
          <w:p w:rsidR="00F25955" w:rsidRDefault="00F25955">
            <w:pPr>
              <w:spacing w:line="360" w:lineRule="auto"/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258,00</w:t>
            </w:r>
          </w:p>
          <w:p w:rsidR="00F25955" w:rsidRDefault="00F25955">
            <w:pPr>
              <w:spacing w:line="360" w:lineRule="auto"/>
              <w:jc w:val="both"/>
              <w:rPr>
                <w:spacing w:val="-3"/>
                <w:sz w:val="28"/>
                <w:szCs w:val="28"/>
                <w:lang w:val="uk-UA"/>
              </w:rPr>
            </w:pPr>
          </w:p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188,00</w:t>
            </w:r>
          </w:p>
          <w:p w:rsidR="00F25955" w:rsidRDefault="00F25955">
            <w:pPr>
              <w:jc w:val="both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 xml:space="preserve">  70,00   </w:t>
            </w:r>
          </w:p>
        </w:tc>
      </w:tr>
    </w:tbl>
    <w:p w:rsidR="00F25955" w:rsidRDefault="00F25955" w:rsidP="00F25955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lastRenderedPageBreak/>
        <w:t>РОЗДІЛ  ІІ</w:t>
      </w:r>
    </w:p>
    <w:p w:rsidR="00F25955" w:rsidRDefault="00F25955" w:rsidP="00F25955">
      <w:pPr>
        <w:rPr>
          <w:b/>
          <w:sz w:val="16"/>
          <w:szCs w:val="16"/>
          <w:lang w:val="uk-UA"/>
        </w:rPr>
      </w:pPr>
    </w:p>
    <w:p w:rsidR="00F25955" w:rsidRDefault="00F25955" w:rsidP="00F259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ВИЗНАЧЕННЯ ПРОБЛЕМИ, НА РОЗВЯЗАННЯ ЯКОЇ СПРЯМОВАНА ПРОГРАМА</w:t>
      </w:r>
    </w:p>
    <w:p w:rsidR="00F25955" w:rsidRDefault="00F25955" w:rsidP="00F25955">
      <w:pPr>
        <w:jc w:val="center"/>
        <w:rPr>
          <w:b/>
          <w:sz w:val="28"/>
          <w:szCs w:val="28"/>
          <w:lang w:val="uk-UA"/>
        </w:rPr>
      </w:pP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В умовах державної політики, спрямованої на децентралізацію влади  та перерозподіл повноважень між органами виконавчої влади та місцевого самоврядування , актуальним стає питання удосконалення управління на місцевому рівні, удосконалення співпраці між місцевими радами всіх рівнів. Функціонування рад в нових умовах вимагає зміцнення матеріальної та технічної бази органів місцевого самоврядування, відповідного і своєчасного інформаційного забезпечення, удосконалення кваліфікації посадових осіб органів місцевого самоврядування та депутатів.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Вивчення діяльності органів місцевого самоврядування виявило актуальні проблеми, пов’язані з комплексним соціально-економічним розвитком населених пунктів, ефективним управлінням місцевим господарством, фінансовим забезпеченням, формуванням і зміцненням матеріальної бази місцевого самоврядування , надання органам місцевого самоврядування якісних адміністративних послуг та громадських послуг населенню.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Зазначені  проблеми зумовлюють необхідність впровадження комплексу заходів щодо розвитку місцевого самоврядування у Лубенському районі.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>
        <w:rPr>
          <w:b/>
          <w:sz w:val="28"/>
          <w:szCs w:val="28"/>
          <w:lang w:val="uk-UA"/>
        </w:rPr>
        <w:t>РОЗДІЛ  ІІІ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МЕТА  ПРОГРАМИ 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Програма розроблена з метою створення належних умов для забезпечення діяльності органів місцевого самоврядування у Лубенському районі, депутатів місцевих рад та підвищення ефективності їхньої роботи.                           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</w:t>
      </w:r>
      <w:r>
        <w:rPr>
          <w:b/>
          <w:sz w:val="28"/>
          <w:szCs w:val="28"/>
          <w:lang w:val="uk-UA"/>
        </w:rPr>
        <w:t>РОЗДІЛ  І</w:t>
      </w:r>
      <w:r>
        <w:rPr>
          <w:b/>
          <w:sz w:val="28"/>
          <w:szCs w:val="28"/>
          <w:lang w:val="en-US"/>
        </w:rPr>
        <w:t>V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ШЛЯХИ  І ЗАСОБИ  РОЗВ’ЯЗАННЯ  ПРОБЛЕМИ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Це вимагає від органів місцевого самоврядування здійснення функцій у нових умовах діяльності. Виконання принципово нових завдань, у свою чергу, потребує зміцнення матеріально-технічної бази органів місцевого самоврядування, відповідного і своєчасного інформаційного забезпечення депутатів місцевих рад, удосконалення кадрового потенціалу органів місцевого самоврядування. Програма передбачає реалізацію відповідних заходів за умови стабільного фінансування та матеріального забезпечення.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16"/>
          <w:szCs w:val="16"/>
          <w:lang w:val="uk-UA"/>
        </w:rPr>
      </w:pP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РОЗДІЛ  </w:t>
      </w:r>
      <w:r>
        <w:rPr>
          <w:b/>
          <w:sz w:val="28"/>
          <w:szCs w:val="28"/>
          <w:lang w:val="en-US"/>
        </w:rPr>
        <w:t>V</w:t>
      </w:r>
    </w:p>
    <w:p w:rsidR="00F25955" w:rsidRDefault="00F25955" w:rsidP="00F25955">
      <w:pPr>
        <w:tabs>
          <w:tab w:val="left" w:pos="22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ЗАВДАННЯ  ПРОГРАМИ  ТА  РЕЗУЛЬТАТИВНІ  ПОКАЗНИКИ</w:t>
      </w:r>
    </w:p>
    <w:p w:rsidR="00F25955" w:rsidRDefault="00F25955" w:rsidP="00F25955">
      <w:pPr>
        <w:tabs>
          <w:tab w:val="left" w:pos="225"/>
        </w:tabs>
        <w:jc w:val="both"/>
        <w:rPr>
          <w:b/>
          <w:sz w:val="16"/>
          <w:szCs w:val="16"/>
        </w:rPr>
      </w:pPr>
    </w:p>
    <w:p w:rsidR="00F25955" w:rsidRDefault="00F25955" w:rsidP="00F25955">
      <w:pPr>
        <w:tabs>
          <w:tab w:val="left" w:pos="225"/>
        </w:tabs>
        <w:jc w:val="both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Завдання та заходи Програми спрямовані на підвищення ефективності діяльності органів місцевого самоврядування та їхнього впливу на процеси соціально-економічного й культурного розвитку територій Лубенського району, забезпечення поліпшення якості адміністративних та управлінських послуг, що надаються населенню, поступове наближення їх до рівня європейських стандартів.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Завданнями Програми є: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розвиток кадрового потенціалу та підвищення кваліфікації посадових осіб органів місцевого самоврядування, депутатів;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розвиток активності територіальних громад району;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організація громадських та соціальних заходів;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майнових засад місцевого самоврядування.</w:t>
      </w:r>
    </w:p>
    <w:p w:rsidR="00F25955" w:rsidRDefault="00F25955" w:rsidP="00F25955">
      <w:pPr>
        <w:tabs>
          <w:tab w:val="left" w:pos="225"/>
        </w:tabs>
        <w:jc w:val="both"/>
        <w:rPr>
          <w:sz w:val="16"/>
          <w:szCs w:val="16"/>
          <w:lang w:val="uk-UA"/>
        </w:rPr>
      </w:pP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 xml:space="preserve">ЗАХОДИ   ПРОГРАМИ   </w:t>
      </w:r>
    </w:p>
    <w:p w:rsidR="00F25955" w:rsidRDefault="00F25955" w:rsidP="00F25955">
      <w:pPr>
        <w:tabs>
          <w:tab w:val="left" w:pos="225"/>
        </w:tabs>
        <w:jc w:val="both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</w:p>
    <w:tbl>
      <w:tblPr>
        <w:tblStyle w:val="a5"/>
        <w:tblW w:w="0" w:type="auto"/>
        <w:tblInd w:w="0" w:type="dxa"/>
        <w:tblLook w:val="01E0"/>
      </w:tblPr>
      <w:tblGrid>
        <w:gridCol w:w="617"/>
        <w:gridCol w:w="2492"/>
        <w:gridCol w:w="1803"/>
        <w:gridCol w:w="1281"/>
        <w:gridCol w:w="1281"/>
        <w:gridCol w:w="2097"/>
      </w:tblGrid>
      <w:tr w:rsidR="00F25955" w:rsidTr="00F25955">
        <w:trPr>
          <w:trHeight w:val="24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  <w:p w:rsidR="00F25955" w:rsidRDefault="00F25955">
            <w:pPr>
              <w:tabs>
                <w:tab w:val="left" w:pos="225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всього на рік (</w:t>
            </w:r>
            <w:proofErr w:type="spellStart"/>
            <w:r>
              <w:rPr>
                <w:b/>
                <w:lang w:val="uk-UA"/>
              </w:rPr>
              <w:t>тис.грн</w:t>
            </w:r>
            <w:proofErr w:type="spellEnd"/>
            <w:r>
              <w:rPr>
                <w:b/>
                <w:lang w:val="uk-UA"/>
              </w:rPr>
              <w:t>.)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F25955" w:rsidTr="00F2595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55" w:rsidRDefault="00F2595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55" w:rsidRDefault="00F2595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55" w:rsidRDefault="00F2595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5" w:rsidRDefault="00F25955">
            <w:pPr>
              <w:tabs>
                <w:tab w:val="left" w:pos="225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районний</w:t>
            </w:r>
          </w:p>
          <w:p w:rsidR="00F25955" w:rsidRDefault="00F25955">
            <w:pPr>
              <w:tabs>
                <w:tab w:val="left" w:pos="22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бюджет</w:t>
            </w:r>
          </w:p>
          <w:p w:rsidR="00F25955" w:rsidRDefault="00F25955">
            <w:pPr>
              <w:tabs>
                <w:tab w:val="left" w:pos="225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бюджети</w:t>
            </w:r>
          </w:p>
          <w:p w:rsidR="00F25955" w:rsidRDefault="00F25955">
            <w:pPr>
              <w:tabs>
                <w:tab w:val="left" w:pos="225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сільських</w:t>
            </w:r>
          </w:p>
          <w:p w:rsidR="00F25955" w:rsidRDefault="00F25955">
            <w:pPr>
              <w:tabs>
                <w:tab w:val="left" w:pos="225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 xml:space="preserve">рад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55" w:rsidRDefault="00F2595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25955" w:rsidRPr="00F25955" w:rsidTr="00F25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Надання практичної допомоги органам місцевого самоврядування з питань організації їх роботи, діловодства, правового забезпечення, розробки документів, що регламентують їх діяльність та депутатами районної ради з питань щодо практичної реалізації їх повноважень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Підвищення рівня фахової підготовки посадових осіб місцевого самоврядування, депутатів місцевих рад</w:t>
            </w:r>
          </w:p>
        </w:tc>
      </w:tr>
      <w:tr w:rsidR="00F25955" w:rsidTr="00F25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Представницькі витрати під час проведення тематичних зустрічей, науково-практичних конференцій, «круглих столів» з представниками органів місцевого самоврядування інших районів та регіонів України, зарубіжних країн.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3,00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Підвищення професіоналізму посадових осіб місцевого самоврядування та впровадження ефективних моделей розвитку територій</w:t>
            </w:r>
          </w:p>
        </w:tc>
      </w:tr>
      <w:tr w:rsidR="00F25955" w:rsidTr="00F25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Участь депутатів та працівників органів місцевого самоврядування району у обласних, всеукраїнських і міжрегіональних змаганнях, популяризація спорту та здорового способу життя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Районна рада,</w:t>
            </w:r>
          </w:p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сільські ради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20,00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Пропаганда здорового способу життя, заохочення депутатів та працівників органів місцевого самоврядування  району до активного заняття спортом</w:t>
            </w:r>
          </w:p>
        </w:tc>
      </w:tr>
      <w:tr w:rsidR="00F25955" w:rsidTr="00F25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Ознайомлення сільських голів, депутатів районної ради з культурними, архітектурними та історичними пам’ятками України через організацію пізнавальних поїздок, що </w:t>
            </w:r>
            <w:r>
              <w:rPr>
                <w:lang w:val="uk-UA"/>
              </w:rPr>
              <w:lastRenderedPageBreak/>
              <w:t>сприяє укладенню партнерських угод з іншими регіонами, набуттю нових знань і практичних навичок діяльності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Районна рада,</w:t>
            </w:r>
          </w:p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сільські ради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40,00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Презентація інвестиційного та економічного потенціалу району. Просування на міжрегіональному рівні позитивного </w:t>
            </w:r>
            <w:r>
              <w:rPr>
                <w:lang w:val="uk-UA"/>
              </w:rPr>
              <w:lastRenderedPageBreak/>
              <w:t xml:space="preserve">іміджу району. </w:t>
            </w:r>
          </w:p>
        </w:tc>
      </w:tr>
      <w:tr w:rsidR="00F25955" w:rsidTr="00F25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Забезпечення належного функціонування, оновлення галереї фотопортретів в приміщенні районної ради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3,00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Вшанування 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’</w:t>
            </w:r>
            <w:r>
              <w:rPr>
                <w:lang w:val="uk-UA"/>
              </w:rPr>
              <w:t>яті та особистого внеску жителів району в забезпечення безпеки держави та її територіальної цілісності</w:t>
            </w:r>
          </w:p>
        </w:tc>
      </w:tr>
      <w:tr w:rsidR="00F25955" w:rsidTr="00F25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Виготовлення та придбання презентаційної продукції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Презентація на міжрегіональному рівні позитивного іміджу району, його культурної, історичної спадщини</w:t>
            </w:r>
          </w:p>
        </w:tc>
      </w:tr>
      <w:tr w:rsidR="00F25955" w:rsidRPr="00F25955" w:rsidTr="00F25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Забезпечення виплат  переможцям літературно-мистецької премії ім. Василя Симоненка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10,00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Популяризація районної премії, підтримка творчої інтелігенції, відзначення кращих робіт та заохочення переможців  </w:t>
            </w:r>
          </w:p>
        </w:tc>
      </w:tr>
      <w:tr w:rsidR="00F25955" w:rsidTr="00F25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Висвітлення діяльності районної ради у  засобах масової інформації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5" w:rsidRDefault="00F25955">
            <w:pPr>
              <w:tabs>
                <w:tab w:val="left" w:pos="2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Створення прозорої системи для прийняття управлінських рішень органами місцевого самоврядування, підвищення довіри до органів місцевого самоврядування всіх рівнів</w:t>
            </w:r>
          </w:p>
        </w:tc>
      </w:tr>
    </w:tbl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РОЗДІЛ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ФІНАНСОВЕ  ЗАБЕЗПЕЧЕННЯ   ПРОГРАМИ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Фінансування Програми здійснюється відповідно до чинного законодавства України за рахунок коштів районного бюджету та сільських бюджетів.</w:t>
      </w:r>
      <w:r>
        <w:rPr>
          <w:b/>
          <w:sz w:val="28"/>
          <w:szCs w:val="28"/>
          <w:lang w:val="uk-UA"/>
        </w:rPr>
        <w:t xml:space="preserve">                           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РОЗДІЛ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ІІ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ОЧІКУВАНІ  РЕЗУЛЬТАТИ  ВИКОНАННЯ ПРОГРАМИ 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Реалізація заходів Програми дозволить: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підвищити рівень фахової підготовки посадових осіб органів місцевого                                                      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самоврядування, депутатів місцевих рад;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створити  систему  науково-методичної    допомоги    органам     місцевого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самоврядування в підготовці проектів та програм розвитку територій;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поліпшити науково-методичне забезпечення діяльності органів місцевого самоврядування з виконання власних повноважень;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упровадити інноваційний підхід до вирішення питань розвитку території з боку органів місцевого самоврядування, підвищення якості надання адміністративних та громадських послуг населенню відповідної території;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розвиток територіальних громад району;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підвищити рівень інформованості громадян про діяльність органів місцевого самоврядування, роботу депутатів;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вивчити, узагальнити та поширити передовий досвід діяльності органів місцевого самоврядування у вирішенні проблемних питань розвитку місцевих громад;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презентувати інвестиційний та економічний потенціал регіону, забезпечити просування  на         міжнародному    державному    та        міжрегіональному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рівнях позитивного іміджу Лубенського району;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створити прозору систему для прийняття управлінських рішень органами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місцевого самоврядування, підвищити довіру населення до органів місцевого самоврядування;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забезпечити належне інформування посадових осіб місцевого самоврядування та депутатів;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вивчити громадську думку з актуальних питань розвитку територій;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пропагувати здоровий спосіб життя, заохочувати депутатів та працівників органів місцевого самоврядування району до активного заняття спортом;                                                           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забезпечити належні умови роботи для депутатів, працівників виконавчого апарату районної ради;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підвищити ефективність використання майна спільної власності територіальних громад району.                                               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16"/>
          <w:szCs w:val="16"/>
          <w:lang w:val="uk-UA"/>
        </w:rPr>
      </w:pP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РОЗДІЛ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</w:p>
    <w:p w:rsidR="00F25955" w:rsidRDefault="00F25955" w:rsidP="00F25955">
      <w:pPr>
        <w:tabs>
          <w:tab w:val="left" w:pos="225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 ТА КОНТРОЛЬ  ЗА  ЗАХОДАМИ  ВИКОНАННЯ  ПРОГРАМИ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Організацію виконання Програми забезпечує виконавчий апарат районної ради,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основними завданнями якого є  здійснення організаційного, правового, інформаційного, аналітичного, матеріально-технічного забезпечення  діяльності ради, її органів, депутатів, сприяння  здійсненню взаємодії з територіальними громадами, органами та посадовими особами місцевого самоврядування. </w:t>
      </w:r>
    </w:p>
    <w:p w:rsidR="00F25955" w:rsidRDefault="00F25955" w:rsidP="00F25955">
      <w:pPr>
        <w:tabs>
          <w:tab w:val="left" w:pos="225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Контроль за виконанням заходів Програми здійснює постійна комісія районної ради з питань законності та правопорядку, місцевого самоврядування  депутатської діяльності та етики, зв’язків з   громадськістю, антикорупційної політики. </w:t>
      </w:r>
      <w:r>
        <w:rPr>
          <w:b/>
          <w:sz w:val="28"/>
          <w:szCs w:val="28"/>
          <w:lang w:val="uk-UA"/>
        </w:rPr>
        <w:t xml:space="preserve">    </w:t>
      </w:r>
    </w:p>
    <w:p w:rsidR="00F25955" w:rsidRDefault="00F25955" w:rsidP="00F25955">
      <w:pPr>
        <w:tabs>
          <w:tab w:val="left" w:pos="225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керуючого справами </w:t>
      </w:r>
    </w:p>
    <w:p w:rsidR="00F25955" w:rsidRDefault="00F25955" w:rsidP="00F25955">
      <w:pPr>
        <w:tabs>
          <w:tab w:val="left" w:pos="2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апарату районної ради                                                Н.А.</w:t>
      </w:r>
      <w:proofErr w:type="spellStart"/>
      <w:r>
        <w:rPr>
          <w:sz w:val="28"/>
          <w:szCs w:val="28"/>
          <w:lang w:val="uk-UA"/>
        </w:rPr>
        <w:t>Шишова</w:t>
      </w:r>
      <w:proofErr w:type="spellEnd"/>
    </w:p>
    <w:p w:rsidR="009844D5" w:rsidRPr="00F25955" w:rsidRDefault="009844D5">
      <w:pPr>
        <w:rPr>
          <w:lang w:val="uk-UA"/>
        </w:rPr>
      </w:pPr>
    </w:p>
    <w:sectPr w:rsidR="009844D5" w:rsidRPr="00F2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955"/>
    <w:rsid w:val="009844D5"/>
    <w:rsid w:val="00F2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259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F2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F2595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F25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2018-04-23T14:03:00Z</dcterms:created>
  <dcterms:modified xsi:type="dcterms:W3CDTF">2018-04-23T14:03:00Z</dcterms:modified>
</cp:coreProperties>
</file>